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2F029D">
      <w:pPr>
        <w:ind w:left="0" w:leftChars="0" w:firstLine="0" w:firstLineChars="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672427FD">
      <w:pPr>
        <w:ind w:left="0" w:leftChars="0" w:firstLine="0" w:firstLineChars="0"/>
        <w:jc w:val="center"/>
        <w:rPr>
          <w:rFonts w:hint="eastAsia" w:ascii="仿宋" w:hAnsi="仿宋" w:eastAsia="仿宋" w:cs="仿宋"/>
          <w:b/>
          <w:bCs/>
          <w:sz w:val="28"/>
          <w:szCs w:val="28"/>
          <w:lang w:val="en-US" w:eastAsia="zh-CN"/>
        </w:rPr>
      </w:pPr>
      <w:bookmarkStart w:id="0" w:name="_GoBack"/>
      <w:r>
        <w:rPr>
          <w:rFonts w:hint="eastAsia" w:ascii="仿宋" w:hAnsi="仿宋" w:eastAsia="仿宋" w:cs="仿宋"/>
          <w:b/>
          <w:bCs/>
          <w:sz w:val="28"/>
          <w:szCs w:val="28"/>
          <w:lang w:val="en-US" w:eastAsia="zh-CN"/>
        </w:rPr>
        <w:t>南平市建阳区将口镇消除污水管网空白区建设工程</w:t>
      </w:r>
    </w:p>
    <w:p w14:paraId="5FD03226">
      <w:pPr>
        <w:ind w:left="0" w:leftChars="0" w:firstLine="0" w:firstLineChars="0"/>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预算编制服务费控制价</w:t>
      </w:r>
      <w:bookmarkEnd w:id="0"/>
    </w:p>
    <w:tbl>
      <w:tblPr>
        <w:tblStyle w:val="3"/>
        <w:tblW w:w="8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2822"/>
        <w:gridCol w:w="3737"/>
        <w:gridCol w:w="1034"/>
        <w:gridCol w:w="753"/>
      </w:tblGrid>
      <w:tr w14:paraId="5D483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14:paraId="75A3F785">
            <w:pPr>
              <w:ind w:left="0" w:lef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序号</w:t>
            </w:r>
          </w:p>
        </w:tc>
        <w:tc>
          <w:tcPr>
            <w:tcW w:w="2822" w:type="dxa"/>
            <w:noWrap w:val="0"/>
            <w:vAlign w:val="center"/>
          </w:tcPr>
          <w:p w14:paraId="170DC067">
            <w:pPr>
              <w:ind w:left="0" w:lef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项目名称</w:t>
            </w:r>
          </w:p>
        </w:tc>
        <w:tc>
          <w:tcPr>
            <w:tcW w:w="3737" w:type="dxa"/>
            <w:noWrap w:val="0"/>
            <w:vAlign w:val="center"/>
          </w:tcPr>
          <w:p w14:paraId="4532B0F0">
            <w:pPr>
              <w:ind w:left="0" w:lef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预算编制服务费控制价</w:t>
            </w:r>
          </w:p>
        </w:tc>
        <w:tc>
          <w:tcPr>
            <w:tcW w:w="1034" w:type="dxa"/>
            <w:noWrap w:val="0"/>
            <w:vAlign w:val="center"/>
          </w:tcPr>
          <w:p w14:paraId="1FF325D2">
            <w:pPr>
              <w:ind w:left="0" w:leftChars="0"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质量要求</w:t>
            </w:r>
          </w:p>
        </w:tc>
        <w:tc>
          <w:tcPr>
            <w:tcW w:w="753" w:type="dxa"/>
            <w:noWrap w:val="0"/>
            <w:vAlign w:val="center"/>
          </w:tcPr>
          <w:p w14:paraId="08249904">
            <w:pPr>
              <w:ind w:left="0" w:lef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r>
      <w:tr w14:paraId="6B4EF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9" w:type="dxa"/>
            <w:noWrap w:val="0"/>
            <w:vAlign w:val="center"/>
          </w:tcPr>
          <w:p w14:paraId="75D1652B">
            <w:pPr>
              <w:ind w:left="0" w:leftChars="0" w:firstLine="0" w:firstLineChars="0"/>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2822" w:type="dxa"/>
            <w:noWrap w:val="0"/>
            <w:vAlign w:val="center"/>
          </w:tcPr>
          <w:p w14:paraId="7D8B00C6">
            <w:pPr>
              <w:ind w:left="0" w:leftChars="0" w:firstLine="0" w:firstLineChars="0"/>
              <w:jc w:val="center"/>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南平市建阳区将口镇消除污水管网空白区建设工程</w:t>
            </w:r>
          </w:p>
        </w:tc>
        <w:tc>
          <w:tcPr>
            <w:tcW w:w="3737" w:type="dxa"/>
            <w:noWrap w:val="0"/>
            <w:vAlign w:val="center"/>
          </w:tcPr>
          <w:p w14:paraId="082CF12E">
            <w:pPr>
              <w:ind w:left="0" w:leftChars="0" w:firstLine="560" w:firstLineChars="20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本项目预算编制服务费取费标准：分别按按工程造价咨询服务收费标准闽价[2002]房457号基准费率（‰）计价标准计算的6折计取。</w:t>
            </w:r>
          </w:p>
        </w:tc>
        <w:tc>
          <w:tcPr>
            <w:tcW w:w="1034" w:type="dxa"/>
            <w:noWrap w:val="0"/>
            <w:vAlign w:val="center"/>
          </w:tcPr>
          <w:p w14:paraId="7547A9C6">
            <w:pPr>
              <w:ind w:left="0" w:leftChars="0"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753" w:type="dxa"/>
            <w:noWrap w:val="0"/>
            <w:vAlign w:val="center"/>
          </w:tcPr>
          <w:p w14:paraId="246AD1FD">
            <w:pPr>
              <w:ind w:left="0" w:leftChars="0" w:firstLine="0" w:firstLineChars="0"/>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r>
    </w:tbl>
    <w:p w14:paraId="6E3937F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说明：本次南平市建阳区将口镇消除污水管网空白区建设工程，总投资约400万元。建设内容为：排水工程、市政工程。针对将口镇现状污水管网进行改造，拟新建、改建污水管道约10公里管径为 DN200-DN600；新建负压站3座，负压设备井60个，住户隔油池（器）1000个，餐饮隔油池10个，毛发集污井4个，汽车洗车污水隔油沉淀池3个。</w:t>
      </w:r>
    </w:p>
    <w:p w14:paraId="593D5AD7">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本项目预算编制服务费取费标准：预算费用按工程造价咨询服务收费标准闽价[2002]房457号基准费率（‰）计价标准计算的6折计取。</w:t>
      </w:r>
    </w:p>
    <w:p w14:paraId="2BC2C532">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备注：本项目摇球中选的预算编制服务单位不得参与本项目后续预算审核单位的摇选。</w:t>
      </w:r>
    </w:p>
    <w:p w14:paraId="256808C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407D56"/>
    <w:rsid w:val="35407D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Times New Roman"/>
      <w:kern w:val="2"/>
      <w:sz w:val="24"/>
      <w:szCs w:val="21"/>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2026-03-30T09:18:00Z</dcterms:created>
  <dc:creator>可爱多</dc:creator>
  <cp:lastModifiedBy>可爱多</cp:lastModifiedBy>
  <dcterms:modified xsi:type="dcterms:W3CDTF">2026-03-30T09:19:18Z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D2BD7F689C494396B0E0F27D644E6AEE_11</vt:lpwstr>
  </property>
  <property fmtid="{D5CDD505-2E9C-101B-9397-08002B2CF9AE}" pid="4" name="KSOTemplateDocerSaveRecord">
    <vt:lpwstr>eyJoZGlkIjoiZWM2N2IwZDBkMzlkYTY1ZmNiZTllNTYzNjUyMzEwMTkiLCJ1c2VySWQiOiIxMDcxNzY1MzAxIn0=</vt:lpwstr>
  </property>
</Properties>
</file>