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AEFE6">
      <w:pPr>
        <w:pStyle w:val="11"/>
        <w:keepNext w:val="0"/>
        <w:keepLines w:val="0"/>
        <w:pageBreakBefore w:val="0"/>
        <w:kinsoku/>
        <w:overflowPunct/>
        <w:topLinePunct w:val="0"/>
        <w:autoSpaceDE/>
        <w:autoSpaceDN/>
        <w:bidi w:val="0"/>
        <w:adjustRightInd w:val="0"/>
        <w:snapToGrid w:val="0"/>
        <w:spacing w:line="240" w:lineRule="auto"/>
        <w:ind w:left="129" w:leftChars="-85" w:hanging="307" w:hangingChars="64"/>
        <w:jc w:val="center"/>
        <w:rPr>
          <w:rFonts w:cs="Tahoma"/>
          <w:b/>
          <w:bCs/>
          <w:color w:val="auto"/>
          <w:sz w:val="48"/>
          <w:szCs w:val="48"/>
          <w:highlight w:val="none"/>
        </w:rPr>
      </w:pPr>
      <w:bookmarkStart w:id="0" w:name="_GoBack"/>
      <w:bookmarkEnd w:id="0"/>
      <w:r>
        <w:rPr>
          <w:rFonts w:hint="eastAsia" w:cs="Tahoma"/>
          <w:b/>
          <w:bCs/>
          <w:color w:val="auto"/>
          <w:sz w:val="48"/>
          <w:szCs w:val="48"/>
          <w:highlight w:val="none"/>
        </w:rPr>
        <w:t>房屋租赁合同</w:t>
      </w:r>
    </w:p>
    <w:p w14:paraId="53155DFA">
      <w:pPr>
        <w:keepNext w:val="0"/>
        <w:keepLines w:val="0"/>
        <w:pageBreakBefore w:val="0"/>
        <w:kinsoku/>
        <w:wordWrap w:val="0"/>
        <w:overflowPunct/>
        <w:topLinePunct w:val="0"/>
        <w:autoSpaceDE/>
        <w:autoSpaceDN/>
        <w:bidi w:val="0"/>
        <w:spacing w:line="240" w:lineRule="auto"/>
        <w:jc w:val="right"/>
        <w:rPr>
          <w:rFonts w:hint="eastAsia" w:ascii="宋体" w:hAnsi="宋体" w:eastAsia="宋体"/>
          <w:color w:val="auto"/>
          <w:sz w:val="30"/>
          <w:szCs w:val="30"/>
          <w:highlight w:val="none"/>
          <w:lang w:val="en-US" w:eastAsia="zh-CN"/>
        </w:rPr>
      </w:pPr>
      <w:r>
        <w:rPr>
          <w:rFonts w:hint="eastAsia" w:ascii="宋体" w:hAnsi="宋体"/>
          <w:color w:val="auto"/>
          <w:sz w:val="28"/>
          <w:szCs w:val="28"/>
          <w:highlight w:val="none"/>
        </w:rPr>
        <w:t>合同编号：</w:t>
      </w:r>
      <w:r>
        <w:rPr>
          <w:rFonts w:hint="eastAsia" w:ascii="宋体" w:hAnsi="宋体"/>
          <w:color w:val="auto"/>
          <w:sz w:val="28"/>
          <w:szCs w:val="28"/>
          <w:highlight w:val="none"/>
          <w:u w:val="single"/>
        </w:rPr>
        <w:t xml:space="preserve">  </w:t>
      </w:r>
      <w:r>
        <w:rPr>
          <w:rFonts w:hint="default" w:ascii="宋体" w:hAnsi="宋体"/>
          <w:color w:val="auto"/>
          <w:sz w:val="28"/>
          <w:szCs w:val="28"/>
          <w:highlight w:val="none"/>
          <w:u w:val="single"/>
          <w:lang w:val="en-US"/>
        </w:rPr>
        <w:t xml:space="preserve">    </w:t>
      </w:r>
      <w:r>
        <w:rPr>
          <w:rFonts w:hint="eastAsia" w:ascii="宋体" w:hAnsi="宋体"/>
          <w:color w:val="auto"/>
          <w:sz w:val="28"/>
          <w:szCs w:val="28"/>
          <w:highlight w:val="none"/>
          <w:u w:val="single"/>
        </w:rPr>
        <w:t xml:space="preserve">  </w:t>
      </w:r>
    </w:p>
    <w:p w14:paraId="5A218474">
      <w:pPr>
        <w:keepNext w:val="0"/>
        <w:keepLines w:val="0"/>
        <w:pageBreakBefore w:val="0"/>
        <w:kinsoku/>
        <w:overflowPunct/>
        <w:topLinePunct w:val="0"/>
        <w:autoSpaceDE/>
        <w:autoSpaceDN/>
        <w:bidi w:val="0"/>
        <w:spacing w:line="24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出租方（以下简称甲方）：</w:t>
      </w:r>
      <w:r>
        <w:rPr>
          <w:rFonts w:hint="eastAsia" w:ascii="仿宋_GB2312" w:hAnsi="仿宋_GB2312" w:eastAsia="仿宋_GB2312" w:cs="仿宋_GB2312"/>
          <w:color w:val="auto"/>
          <w:sz w:val="28"/>
          <w:szCs w:val="28"/>
          <w:highlight w:val="none"/>
          <w:lang w:val="en-US" w:eastAsia="zh-CN"/>
        </w:rPr>
        <w:t xml:space="preserve">    </w:t>
      </w:r>
    </w:p>
    <w:p w14:paraId="32542147">
      <w:pPr>
        <w:keepNext w:val="0"/>
        <w:keepLines w:val="0"/>
        <w:pageBreakBefore w:val="0"/>
        <w:kinsoku/>
        <w:overflowPunct/>
        <w:topLinePunct w:val="0"/>
        <w:autoSpaceDE/>
        <w:autoSpaceDN/>
        <w:bidi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承租方（以下简称乙方）：        </w:t>
      </w:r>
    </w:p>
    <w:p w14:paraId="228C4F6B">
      <w:pPr>
        <w:keepNext w:val="0"/>
        <w:keepLines w:val="0"/>
        <w:pageBreakBefore w:val="0"/>
        <w:kinsoku/>
        <w:overflowPunct/>
        <w:topLinePunct w:val="0"/>
        <w:autoSpaceDE/>
        <w:autoSpaceDN/>
        <w:bidi w:val="0"/>
        <w:spacing w:line="240" w:lineRule="auto"/>
        <w:ind w:firstLine="551" w:firstLineChars="197"/>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根据《中华人民共和国民法典》与《南平市国资委关于印发〈所出资企业资产租赁和经营业务承包管理办法〉的通知》（南国资〔2025〕10号）文件的规定，甲方将其拥有或受托管理的房屋出租给乙方使用，经协商一致，就乙方租赁甲方房屋事宜达成如下协议</w:t>
      </w:r>
      <w:r>
        <w:rPr>
          <w:rFonts w:hint="eastAsia" w:ascii="仿宋_GB2312" w:hAnsi="仿宋_GB2312" w:eastAsia="仿宋_GB2312" w:cs="仿宋_GB2312"/>
          <w:color w:val="auto"/>
          <w:sz w:val="28"/>
          <w:szCs w:val="28"/>
          <w:highlight w:val="none"/>
          <w:lang w:eastAsia="zh-CN"/>
        </w:rPr>
        <w:t>：</w:t>
      </w:r>
    </w:p>
    <w:p w14:paraId="11C517EC">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第一条 房屋基本情况</w:t>
      </w:r>
    </w:p>
    <w:p w14:paraId="6F266021">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甲方房屋坐落于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（以下简称该房屋），租赁面积</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平方米</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i w:val="0"/>
          <w:iCs w:val="0"/>
          <w:caps w:val="0"/>
          <w:color w:val="auto"/>
          <w:spacing w:val="0"/>
          <w:kern w:val="0"/>
          <w:sz w:val="28"/>
          <w:szCs w:val="28"/>
          <w:highlight w:val="none"/>
        </w:rPr>
        <w:t>以实际移交面积为准，面积误差不调整房屋租金</w:t>
      </w:r>
      <w:r>
        <w:rPr>
          <w:rFonts w:hint="eastAsia" w:ascii="仿宋_GB2312" w:hAnsi="仿宋_GB2312" w:eastAsia="仿宋_GB2312" w:cs="仿宋_GB2312"/>
          <w:i w:val="0"/>
          <w:iCs w:val="0"/>
          <w:caps w:val="0"/>
          <w:color w:val="auto"/>
          <w:spacing w:val="0"/>
          <w:kern w:val="0"/>
          <w:sz w:val="28"/>
          <w:szCs w:val="28"/>
          <w:highlight w:val="none"/>
          <w:lang w:eastAsia="zh-CN"/>
        </w:rPr>
        <w:t>）</w:t>
      </w:r>
      <w:r>
        <w:rPr>
          <w:rFonts w:hint="eastAsia" w:ascii="仿宋_GB2312" w:hAnsi="仿宋_GB2312" w:eastAsia="仿宋_GB2312" w:cs="仿宋_GB2312"/>
          <w:color w:val="auto"/>
          <w:kern w:val="0"/>
          <w:sz w:val="28"/>
          <w:szCs w:val="28"/>
          <w:highlight w:val="none"/>
          <w:lang w:eastAsia="zh-CN"/>
        </w:rPr>
        <w:t>。</w:t>
      </w:r>
    </w:p>
    <w:p w14:paraId="1A8314DA">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第二条 房屋用途</w:t>
      </w:r>
    </w:p>
    <w:p w14:paraId="7021A46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乙方对该房屋地类用途、面积现状已作充分了解，愿意按现状租赁该房屋，并保证承租作为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使用。</w:t>
      </w:r>
      <w:r>
        <w:rPr>
          <w:rFonts w:hint="eastAsia" w:ascii="仿宋_GB2312" w:hAnsi="仿宋_GB2312" w:eastAsia="仿宋_GB2312" w:cs="仿宋_GB2312"/>
          <w:color w:val="auto"/>
          <w:kern w:val="0"/>
          <w:sz w:val="28"/>
          <w:szCs w:val="28"/>
          <w:highlight w:val="none"/>
        </w:rPr>
        <w:t>乙方</w:t>
      </w:r>
      <w:r>
        <w:rPr>
          <w:rFonts w:hint="eastAsia" w:ascii="仿宋_GB2312" w:hAnsi="仿宋_GB2312" w:eastAsia="仿宋_GB2312" w:cs="仿宋_GB2312"/>
          <w:color w:val="auto"/>
          <w:kern w:val="0"/>
          <w:sz w:val="28"/>
          <w:szCs w:val="28"/>
          <w:highlight w:val="none"/>
          <w:lang w:val="en-US" w:eastAsia="zh-CN"/>
        </w:rPr>
        <w:t>同意以现状接收房屋，并</w:t>
      </w:r>
      <w:r>
        <w:rPr>
          <w:rFonts w:hint="eastAsia" w:ascii="仿宋_GB2312" w:hAnsi="仿宋_GB2312" w:eastAsia="仿宋_GB2312" w:cs="仿宋_GB2312"/>
          <w:color w:val="auto"/>
          <w:kern w:val="0"/>
          <w:sz w:val="28"/>
          <w:szCs w:val="28"/>
          <w:highlight w:val="none"/>
        </w:rPr>
        <w:t>不得</w:t>
      </w:r>
      <w:r>
        <w:rPr>
          <w:rFonts w:hint="eastAsia" w:ascii="仿宋_GB2312" w:hAnsi="仿宋_GB2312" w:eastAsia="仿宋_GB2312" w:cs="仿宋_GB2312"/>
          <w:color w:val="auto"/>
          <w:kern w:val="0"/>
          <w:sz w:val="28"/>
          <w:szCs w:val="28"/>
          <w:highlight w:val="none"/>
          <w:lang w:val="en-US" w:eastAsia="zh-CN"/>
        </w:rPr>
        <w:t>在出租房屋内有产生</w:t>
      </w:r>
      <w:r>
        <w:rPr>
          <w:rFonts w:hint="eastAsia" w:ascii="仿宋_GB2312" w:hAnsi="仿宋_GB2312" w:eastAsia="仿宋_GB2312" w:cs="仿宋_GB2312"/>
          <w:color w:val="auto"/>
          <w:kern w:val="0"/>
          <w:sz w:val="28"/>
          <w:szCs w:val="28"/>
          <w:highlight w:val="none"/>
        </w:rPr>
        <w:t>噪音、污染、粉尘等</w:t>
      </w:r>
      <w:r>
        <w:rPr>
          <w:rFonts w:hint="eastAsia" w:ascii="仿宋_GB2312" w:hAnsi="仿宋_GB2312" w:eastAsia="仿宋_GB2312" w:cs="仿宋_GB2312"/>
          <w:color w:val="auto"/>
          <w:kern w:val="0"/>
          <w:sz w:val="28"/>
          <w:szCs w:val="28"/>
          <w:highlight w:val="none"/>
          <w:lang w:val="en-US" w:eastAsia="zh-CN"/>
        </w:rPr>
        <w:t>及</w:t>
      </w:r>
      <w:r>
        <w:rPr>
          <w:rFonts w:hint="eastAsia" w:ascii="仿宋_GB2312" w:hAnsi="仿宋_GB2312" w:eastAsia="仿宋_GB2312" w:cs="仿宋_GB2312"/>
          <w:color w:val="auto"/>
          <w:kern w:val="0"/>
          <w:sz w:val="28"/>
          <w:szCs w:val="28"/>
          <w:highlight w:val="none"/>
        </w:rPr>
        <w:t>其他违反国家法律、法规规定的</w:t>
      </w:r>
      <w:r>
        <w:rPr>
          <w:rFonts w:hint="eastAsia" w:ascii="仿宋_GB2312" w:hAnsi="仿宋_GB2312" w:eastAsia="仿宋_GB2312" w:cs="仿宋_GB2312"/>
          <w:color w:val="auto"/>
          <w:kern w:val="0"/>
          <w:sz w:val="28"/>
          <w:szCs w:val="28"/>
          <w:highlight w:val="none"/>
          <w:lang w:val="en-US" w:eastAsia="zh-CN"/>
        </w:rPr>
        <w:t>行为</w:t>
      </w:r>
      <w:r>
        <w:rPr>
          <w:rFonts w:hint="eastAsia" w:ascii="仿宋_GB2312" w:hAnsi="仿宋_GB2312" w:eastAsia="仿宋_GB2312" w:cs="仿宋_GB2312"/>
          <w:color w:val="auto"/>
          <w:kern w:val="0"/>
          <w:sz w:val="28"/>
          <w:szCs w:val="28"/>
          <w:highlight w:val="none"/>
        </w:rPr>
        <w:t>。</w:t>
      </w:r>
    </w:p>
    <w:p w14:paraId="7D87918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乙方应当采取有效措施防止或减少对周边居民、行人的不良影响，并根据政府部门的要求及双方签订的《安全生产</w:t>
      </w:r>
      <w:r>
        <w:rPr>
          <w:rFonts w:hint="eastAsia" w:ascii="仿宋_GB2312" w:hAnsi="仿宋_GB2312" w:eastAsia="仿宋_GB2312" w:cs="仿宋_GB2312"/>
          <w:color w:val="auto"/>
          <w:sz w:val="28"/>
          <w:szCs w:val="28"/>
          <w:highlight w:val="none"/>
          <w:lang w:val="en-US" w:eastAsia="zh-CN"/>
        </w:rPr>
        <w:t>责任</w:t>
      </w:r>
      <w:r>
        <w:rPr>
          <w:rFonts w:hint="eastAsia" w:ascii="仿宋_GB2312" w:hAnsi="仿宋_GB2312" w:eastAsia="仿宋_GB2312" w:cs="仿宋_GB2312"/>
          <w:color w:val="auto"/>
          <w:sz w:val="28"/>
          <w:szCs w:val="28"/>
          <w:highlight w:val="none"/>
        </w:rPr>
        <w:t>协议》（见附件）做好消防等安全防范工作。</w:t>
      </w:r>
    </w:p>
    <w:p w14:paraId="6D4C729C">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第三条 租赁期限</w:t>
      </w:r>
    </w:p>
    <w:p w14:paraId="1476C4F0">
      <w:pPr>
        <w:keepNext w:val="0"/>
        <w:keepLines w:val="0"/>
        <w:pageBreakBefore w:val="0"/>
        <w:kinsoku/>
        <w:overflowPunct/>
        <w:topLinePunct w:val="0"/>
        <w:autoSpaceDE/>
        <w:autoSpaceDN/>
        <w:bidi w:val="0"/>
        <w:spacing w:line="240" w:lineRule="auto"/>
        <w:ind w:left="147" w:leftChars="70"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租赁期限</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年，自</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日止。</w:t>
      </w:r>
    </w:p>
    <w:p w14:paraId="306CB9D1">
      <w:pPr>
        <w:keepNext w:val="0"/>
        <w:keepLines w:val="0"/>
        <w:pageBreakBefore w:val="0"/>
        <w:numPr>
          <w:ilvl w:val="0"/>
          <w:numId w:val="1"/>
        </w:numPr>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租金</w:t>
      </w:r>
    </w:p>
    <w:tbl>
      <w:tblPr>
        <w:tblStyle w:val="6"/>
        <w:tblW w:w="9357" w:type="dxa"/>
        <w:tblInd w:w="250" w:type="dxa"/>
        <w:tblLayout w:type="fixed"/>
        <w:tblCellMar>
          <w:top w:w="0" w:type="dxa"/>
          <w:left w:w="108" w:type="dxa"/>
          <w:bottom w:w="0" w:type="dxa"/>
          <w:right w:w="108" w:type="dxa"/>
        </w:tblCellMar>
      </w:tblPr>
      <w:tblGrid>
        <w:gridCol w:w="1134"/>
        <w:gridCol w:w="2464"/>
        <w:gridCol w:w="1648"/>
        <w:gridCol w:w="1843"/>
        <w:gridCol w:w="2268"/>
      </w:tblGrid>
      <w:tr w14:paraId="4828F859">
        <w:tblPrEx>
          <w:tblCellMar>
            <w:top w:w="0" w:type="dxa"/>
            <w:left w:w="108" w:type="dxa"/>
            <w:bottom w:w="0" w:type="dxa"/>
            <w:right w:w="108" w:type="dxa"/>
          </w:tblCellMar>
        </w:tblPrEx>
        <w:trPr>
          <w:trHeight w:val="500" w:hRule="atLeast"/>
        </w:trPr>
        <w:tc>
          <w:tcPr>
            <w:tcW w:w="1134" w:type="dxa"/>
            <w:vMerge w:val="restart"/>
            <w:tcBorders>
              <w:top w:val="single" w:color="auto" w:sz="8" w:space="0"/>
              <w:left w:val="single" w:color="auto" w:sz="8" w:space="0"/>
              <w:bottom w:val="single" w:color="auto" w:sz="4" w:space="0"/>
              <w:right w:val="single" w:color="auto" w:sz="4" w:space="0"/>
            </w:tcBorders>
            <w:vAlign w:val="center"/>
          </w:tcPr>
          <w:p w14:paraId="2A0171BA">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年度</w:t>
            </w:r>
          </w:p>
        </w:tc>
        <w:tc>
          <w:tcPr>
            <w:tcW w:w="2464" w:type="dxa"/>
            <w:vMerge w:val="restart"/>
            <w:tcBorders>
              <w:top w:val="single" w:color="auto" w:sz="8" w:space="0"/>
              <w:left w:val="single" w:color="auto" w:sz="4" w:space="0"/>
              <w:bottom w:val="single" w:color="auto" w:sz="4" w:space="0"/>
              <w:right w:val="single" w:color="auto" w:sz="4" w:space="0"/>
            </w:tcBorders>
            <w:vAlign w:val="center"/>
          </w:tcPr>
          <w:p w14:paraId="73931BAA">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起止日</w:t>
            </w:r>
          </w:p>
        </w:tc>
        <w:tc>
          <w:tcPr>
            <w:tcW w:w="1648" w:type="dxa"/>
            <w:vMerge w:val="restart"/>
            <w:tcBorders>
              <w:top w:val="single" w:color="auto" w:sz="8" w:space="0"/>
              <w:left w:val="single" w:color="auto" w:sz="4" w:space="0"/>
              <w:bottom w:val="single" w:color="auto" w:sz="4" w:space="0"/>
              <w:right w:val="single" w:color="auto" w:sz="4" w:space="0"/>
            </w:tcBorders>
            <w:vAlign w:val="center"/>
          </w:tcPr>
          <w:p w14:paraId="1AE670D9">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租金单价</w:t>
            </w:r>
            <w:r>
              <w:rPr>
                <w:rFonts w:eastAsia="仿宋_GB2312"/>
                <w:b/>
                <w:bCs/>
                <w:color w:val="auto"/>
                <w:kern w:val="0"/>
                <w:highlight w:val="none"/>
              </w:rPr>
              <w:t xml:space="preserve">      </w:t>
            </w:r>
          </w:p>
          <w:p w14:paraId="3E1BB865">
            <w:pPr>
              <w:pStyle w:val="2"/>
              <w:spacing w:line="500" w:lineRule="exact"/>
              <w:rPr>
                <w:rFonts w:ascii="Times New Roman" w:hAnsi="Times New Roman" w:eastAsia="仿宋_GB2312" w:cs="Times New Roman"/>
                <w:color w:val="auto"/>
                <w:highlight w:val="none"/>
              </w:rPr>
            </w:pPr>
          </w:p>
          <w:p w14:paraId="0B995E79">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（元</w:t>
            </w:r>
            <w:r>
              <w:rPr>
                <w:rFonts w:eastAsia="仿宋_GB2312"/>
                <w:b/>
                <w:bCs/>
                <w:color w:val="auto"/>
                <w:kern w:val="0"/>
                <w:highlight w:val="none"/>
              </w:rPr>
              <w:t>/</w:t>
            </w:r>
            <w:r>
              <w:rPr>
                <w:rFonts w:hint="eastAsia" w:eastAsia="仿宋_GB2312"/>
                <w:b/>
                <w:bCs/>
                <w:color w:val="auto"/>
                <w:kern w:val="0"/>
                <w:highlight w:val="none"/>
              </w:rPr>
              <w:t>月</w:t>
            </w:r>
            <w:r>
              <w:rPr>
                <w:rFonts w:eastAsia="仿宋_GB2312"/>
                <w:b/>
                <w:bCs/>
                <w:color w:val="auto"/>
                <w:kern w:val="0"/>
                <w:highlight w:val="none"/>
              </w:rPr>
              <w:t>.</w:t>
            </w:r>
            <w:r>
              <w:rPr>
                <w:rFonts w:hint="eastAsia" w:eastAsia="Segoe UI Symbol"/>
                <w:b/>
                <w:bCs/>
                <w:color w:val="auto"/>
                <w:kern w:val="0"/>
                <w:highlight w:val="none"/>
              </w:rPr>
              <w:t>㎡</w:t>
            </w:r>
            <w:r>
              <w:rPr>
                <w:rFonts w:hint="eastAsia" w:eastAsia="仿宋_GB2312"/>
                <w:b/>
                <w:bCs/>
                <w:color w:val="auto"/>
                <w:kern w:val="0"/>
                <w:highlight w:val="none"/>
              </w:rPr>
              <w:t>）</w:t>
            </w:r>
          </w:p>
        </w:tc>
        <w:tc>
          <w:tcPr>
            <w:tcW w:w="1843" w:type="dxa"/>
            <w:vMerge w:val="restart"/>
            <w:tcBorders>
              <w:top w:val="single" w:color="auto" w:sz="8" w:space="0"/>
              <w:left w:val="single" w:color="auto" w:sz="4" w:space="0"/>
              <w:bottom w:val="single" w:color="auto" w:sz="4" w:space="0"/>
              <w:right w:val="single" w:color="auto" w:sz="4" w:space="0"/>
            </w:tcBorders>
            <w:vAlign w:val="center"/>
          </w:tcPr>
          <w:p w14:paraId="33BDF586">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月租金</w:t>
            </w:r>
          </w:p>
          <w:p w14:paraId="51B56812">
            <w:pPr>
              <w:pStyle w:val="2"/>
              <w:spacing w:line="500" w:lineRule="exact"/>
              <w:rPr>
                <w:rFonts w:ascii="Times New Roman" w:hAnsi="Times New Roman" w:eastAsia="仿宋_GB2312" w:cs="Times New Roman"/>
                <w:color w:val="auto"/>
                <w:highlight w:val="none"/>
              </w:rPr>
            </w:pPr>
          </w:p>
          <w:p w14:paraId="7BF092FF">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小计</w:t>
            </w:r>
          </w:p>
        </w:tc>
        <w:tc>
          <w:tcPr>
            <w:tcW w:w="2268" w:type="dxa"/>
            <w:vMerge w:val="restart"/>
            <w:tcBorders>
              <w:top w:val="single" w:color="auto" w:sz="8" w:space="0"/>
              <w:left w:val="single" w:color="auto" w:sz="4" w:space="0"/>
              <w:bottom w:val="single" w:color="auto" w:sz="4" w:space="0"/>
              <w:right w:val="single" w:color="auto" w:sz="4" w:space="0"/>
            </w:tcBorders>
            <w:vAlign w:val="center"/>
          </w:tcPr>
          <w:p w14:paraId="7D1B4F58">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租金合计</w:t>
            </w:r>
          </w:p>
          <w:p w14:paraId="6B31F802">
            <w:pPr>
              <w:pStyle w:val="2"/>
              <w:spacing w:line="500" w:lineRule="exact"/>
              <w:rPr>
                <w:rFonts w:ascii="Times New Roman" w:hAnsi="Times New Roman" w:eastAsia="仿宋_GB2312" w:cs="Times New Roman"/>
                <w:color w:val="auto"/>
                <w:highlight w:val="none"/>
              </w:rPr>
            </w:pPr>
          </w:p>
          <w:p w14:paraId="24EE99CA">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（元）</w:t>
            </w:r>
          </w:p>
        </w:tc>
      </w:tr>
      <w:tr w14:paraId="648C7E87">
        <w:tblPrEx>
          <w:tblCellMar>
            <w:top w:w="0" w:type="dxa"/>
            <w:left w:w="108" w:type="dxa"/>
            <w:bottom w:w="0" w:type="dxa"/>
            <w:right w:w="108" w:type="dxa"/>
          </w:tblCellMar>
        </w:tblPrEx>
        <w:trPr>
          <w:trHeight w:val="625" w:hRule="atLeast"/>
        </w:trPr>
        <w:tc>
          <w:tcPr>
            <w:tcW w:w="1134" w:type="dxa"/>
            <w:vMerge w:val="continue"/>
            <w:tcBorders>
              <w:top w:val="single" w:color="auto" w:sz="8" w:space="0"/>
              <w:left w:val="single" w:color="auto" w:sz="8" w:space="0"/>
              <w:bottom w:val="single" w:color="auto" w:sz="4" w:space="0"/>
              <w:right w:val="single" w:color="auto" w:sz="4" w:space="0"/>
            </w:tcBorders>
            <w:vAlign w:val="center"/>
          </w:tcPr>
          <w:p w14:paraId="7B104EC6">
            <w:pPr>
              <w:widowControl/>
              <w:spacing w:line="500" w:lineRule="exact"/>
              <w:jc w:val="center"/>
              <w:rPr>
                <w:rFonts w:eastAsia="仿宋_GB2312"/>
                <w:b/>
                <w:bCs/>
                <w:color w:val="auto"/>
                <w:kern w:val="0"/>
                <w:highlight w:val="none"/>
              </w:rPr>
            </w:pPr>
          </w:p>
        </w:tc>
        <w:tc>
          <w:tcPr>
            <w:tcW w:w="2464" w:type="dxa"/>
            <w:vMerge w:val="continue"/>
            <w:tcBorders>
              <w:top w:val="single" w:color="auto" w:sz="8" w:space="0"/>
              <w:left w:val="single" w:color="auto" w:sz="4" w:space="0"/>
              <w:bottom w:val="single" w:color="auto" w:sz="4" w:space="0"/>
              <w:right w:val="single" w:color="auto" w:sz="4" w:space="0"/>
            </w:tcBorders>
            <w:vAlign w:val="center"/>
          </w:tcPr>
          <w:p w14:paraId="4B7B14DE">
            <w:pPr>
              <w:widowControl/>
              <w:spacing w:line="500" w:lineRule="exact"/>
              <w:jc w:val="center"/>
              <w:rPr>
                <w:rFonts w:eastAsia="仿宋_GB2312"/>
                <w:b/>
                <w:bCs/>
                <w:color w:val="auto"/>
                <w:kern w:val="0"/>
                <w:highlight w:val="none"/>
              </w:rPr>
            </w:pPr>
          </w:p>
        </w:tc>
        <w:tc>
          <w:tcPr>
            <w:tcW w:w="1648" w:type="dxa"/>
            <w:vMerge w:val="continue"/>
            <w:tcBorders>
              <w:top w:val="single" w:color="auto" w:sz="8" w:space="0"/>
              <w:left w:val="single" w:color="auto" w:sz="4" w:space="0"/>
              <w:bottom w:val="single" w:color="auto" w:sz="4" w:space="0"/>
              <w:right w:val="single" w:color="auto" w:sz="4" w:space="0"/>
            </w:tcBorders>
            <w:vAlign w:val="center"/>
          </w:tcPr>
          <w:p w14:paraId="14868486">
            <w:pPr>
              <w:widowControl/>
              <w:spacing w:line="500" w:lineRule="exact"/>
              <w:jc w:val="center"/>
              <w:rPr>
                <w:rFonts w:eastAsia="仿宋_GB2312"/>
                <w:b/>
                <w:bCs/>
                <w:color w:val="auto"/>
                <w:kern w:val="0"/>
                <w:highlight w:val="none"/>
              </w:rPr>
            </w:pPr>
          </w:p>
        </w:tc>
        <w:tc>
          <w:tcPr>
            <w:tcW w:w="1843" w:type="dxa"/>
            <w:vMerge w:val="continue"/>
            <w:tcBorders>
              <w:top w:val="single" w:color="auto" w:sz="8" w:space="0"/>
              <w:left w:val="single" w:color="auto" w:sz="4" w:space="0"/>
              <w:bottom w:val="single" w:color="auto" w:sz="4" w:space="0"/>
              <w:right w:val="single" w:color="auto" w:sz="4" w:space="0"/>
            </w:tcBorders>
            <w:vAlign w:val="center"/>
          </w:tcPr>
          <w:p w14:paraId="026119D2">
            <w:pPr>
              <w:widowControl/>
              <w:spacing w:line="500" w:lineRule="exact"/>
              <w:jc w:val="center"/>
              <w:rPr>
                <w:rFonts w:eastAsia="仿宋_GB2312"/>
                <w:b/>
                <w:bCs/>
                <w:color w:val="auto"/>
                <w:kern w:val="0"/>
                <w:highlight w:val="none"/>
              </w:rPr>
            </w:pPr>
          </w:p>
        </w:tc>
        <w:tc>
          <w:tcPr>
            <w:tcW w:w="2268" w:type="dxa"/>
            <w:vMerge w:val="continue"/>
            <w:tcBorders>
              <w:top w:val="single" w:color="auto" w:sz="8" w:space="0"/>
              <w:left w:val="single" w:color="auto" w:sz="4" w:space="0"/>
              <w:bottom w:val="single" w:color="auto" w:sz="4" w:space="0"/>
              <w:right w:val="single" w:color="auto" w:sz="4" w:space="0"/>
            </w:tcBorders>
            <w:vAlign w:val="center"/>
          </w:tcPr>
          <w:p w14:paraId="30D3D0D6">
            <w:pPr>
              <w:widowControl/>
              <w:spacing w:line="500" w:lineRule="exact"/>
              <w:jc w:val="center"/>
              <w:rPr>
                <w:rFonts w:eastAsia="仿宋_GB2312"/>
                <w:b/>
                <w:bCs/>
                <w:color w:val="auto"/>
                <w:kern w:val="0"/>
                <w:highlight w:val="none"/>
              </w:rPr>
            </w:pPr>
          </w:p>
        </w:tc>
      </w:tr>
      <w:tr w14:paraId="0811D406">
        <w:tblPrEx>
          <w:tblCellMar>
            <w:top w:w="0" w:type="dxa"/>
            <w:left w:w="108" w:type="dxa"/>
            <w:bottom w:w="0" w:type="dxa"/>
            <w:right w:w="108" w:type="dxa"/>
          </w:tblCellMar>
        </w:tblPrEx>
        <w:trPr>
          <w:trHeight w:val="503" w:hRule="atLeast"/>
        </w:trPr>
        <w:tc>
          <w:tcPr>
            <w:tcW w:w="1134" w:type="dxa"/>
            <w:tcBorders>
              <w:top w:val="nil"/>
              <w:left w:val="single" w:color="auto" w:sz="8" w:space="0"/>
              <w:bottom w:val="single" w:color="auto" w:sz="4" w:space="0"/>
              <w:right w:val="single" w:color="auto" w:sz="4" w:space="0"/>
            </w:tcBorders>
            <w:vAlign w:val="center"/>
          </w:tcPr>
          <w:p w14:paraId="70F8E843">
            <w:pPr>
              <w:widowControl/>
              <w:spacing w:line="500" w:lineRule="exact"/>
              <w:jc w:val="center"/>
              <w:rPr>
                <w:rFonts w:eastAsia="仿宋_GB2312"/>
                <w:color w:val="auto"/>
                <w:kern w:val="0"/>
                <w:highlight w:val="none"/>
              </w:rPr>
            </w:pPr>
            <w:r>
              <w:rPr>
                <w:rFonts w:hint="eastAsia" w:eastAsia="仿宋_GB2312"/>
                <w:color w:val="auto"/>
                <w:kern w:val="0"/>
                <w:highlight w:val="none"/>
              </w:rPr>
              <w:t>第</w:t>
            </w:r>
            <w:r>
              <w:rPr>
                <w:rFonts w:eastAsia="仿宋_GB2312"/>
                <w:color w:val="auto"/>
                <w:kern w:val="0"/>
                <w:highlight w:val="none"/>
              </w:rPr>
              <w:t>1</w:t>
            </w:r>
            <w:r>
              <w:rPr>
                <w:rFonts w:hint="eastAsia" w:eastAsia="仿宋_GB2312"/>
                <w:color w:val="auto"/>
                <w:kern w:val="0"/>
                <w:highlight w:val="none"/>
              </w:rPr>
              <w:t>年</w:t>
            </w:r>
          </w:p>
        </w:tc>
        <w:tc>
          <w:tcPr>
            <w:tcW w:w="2464" w:type="dxa"/>
            <w:tcBorders>
              <w:top w:val="nil"/>
              <w:left w:val="nil"/>
              <w:bottom w:val="single" w:color="auto" w:sz="4" w:space="0"/>
              <w:right w:val="single" w:color="auto" w:sz="4" w:space="0"/>
            </w:tcBorders>
            <w:vAlign w:val="center"/>
          </w:tcPr>
          <w:p w14:paraId="4125E57C">
            <w:pPr>
              <w:widowControl/>
              <w:spacing w:line="500" w:lineRule="exact"/>
              <w:jc w:val="center"/>
              <w:rPr>
                <w:rFonts w:hint="default" w:eastAsia="仿宋_GB2312"/>
                <w:color w:val="auto"/>
                <w:kern w:val="0"/>
                <w:highlight w:val="none"/>
                <w:lang w:val="en-US" w:eastAsia="zh-CN"/>
              </w:rPr>
            </w:pPr>
          </w:p>
        </w:tc>
        <w:tc>
          <w:tcPr>
            <w:tcW w:w="1648" w:type="dxa"/>
            <w:tcBorders>
              <w:top w:val="nil"/>
              <w:left w:val="nil"/>
              <w:bottom w:val="single" w:color="auto" w:sz="4" w:space="0"/>
              <w:right w:val="single" w:color="auto" w:sz="4" w:space="0"/>
            </w:tcBorders>
            <w:vAlign w:val="center"/>
          </w:tcPr>
          <w:p w14:paraId="428B71DA">
            <w:pPr>
              <w:widowControl/>
              <w:spacing w:line="500" w:lineRule="exact"/>
              <w:jc w:val="center"/>
              <w:rPr>
                <w:rFonts w:hint="default" w:eastAsia="仿宋_GB2312"/>
                <w:color w:val="auto"/>
                <w:kern w:val="0"/>
                <w:highlight w:val="none"/>
                <w:lang w:val="en-US" w:eastAsia="zh-CN"/>
              </w:rPr>
            </w:pPr>
          </w:p>
        </w:tc>
        <w:tc>
          <w:tcPr>
            <w:tcW w:w="1843" w:type="dxa"/>
            <w:tcBorders>
              <w:top w:val="nil"/>
              <w:left w:val="nil"/>
              <w:bottom w:val="single" w:color="auto" w:sz="4" w:space="0"/>
              <w:right w:val="single" w:color="auto" w:sz="4" w:space="0"/>
            </w:tcBorders>
            <w:vAlign w:val="center"/>
          </w:tcPr>
          <w:p w14:paraId="1409F00F">
            <w:pPr>
              <w:widowControl/>
              <w:spacing w:line="500" w:lineRule="exact"/>
              <w:jc w:val="center"/>
              <w:rPr>
                <w:rFonts w:hint="default" w:eastAsia="仿宋_GB2312"/>
                <w:color w:val="auto"/>
                <w:kern w:val="0"/>
                <w:highlight w:val="none"/>
                <w:lang w:val="en-US" w:eastAsia="zh-CN"/>
              </w:rPr>
            </w:pPr>
          </w:p>
        </w:tc>
        <w:tc>
          <w:tcPr>
            <w:tcW w:w="2268" w:type="dxa"/>
            <w:tcBorders>
              <w:top w:val="nil"/>
              <w:left w:val="nil"/>
              <w:bottom w:val="single" w:color="auto" w:sz="4" w:space="0"/>
              <w:right w:val="single" w:color="auto" w:sz="4" w:space="0"/>
            </w:tcBorders>
            <w:vAlign w:val="center"/>
          </w:tcPr>
          <w:p w14:paraId="630578AD">
            <w:pPr>
              <w:widowControl/>
              <w:spacing w:line="500" w:lineRule="exact"/>
              <w:jc w:val="center"/>
              <w:rPr>
                <w:rFonts w:hint="default" w:eastAsia="仿宋_GB2312"/>
                <w:color w:val="auto"/>
                <w:kern w:val="0"/>
                <w:highlight w:val="none"/>
                <w:lang w:val="en-US" w:eastAsia="zh-CN"/>
              </w:rPr>
            </w:pPr>
          </w:p>
        </w:tc>
      </w:tr>
      <w:tr w14:paraId="05EEE759">
        <w:tblPrEx>
          <w:tblCellMar>
            <w:top w:w="0" w:type="dxa"/>
            <w:left w:w="108" w:type="dxa"/>
            <w:bottom w:w="0" w:type="dxa"/>
            <w:right w:w="108" w:type="dxa"/>
          </w:tblCellMar>
        </w:tblPrEx>
        <w:trPr>
          <w:trHeight w:val="418" w:hRule="atLeast"/>
        </w:trPr>
        <w:tc>
          <w:tcPr>
            <w:tcW w:w="1134" w:type="dxa"/>
            <w:tcBorders>
              <w:top w:val="nil"/>
              <w:left w:val="single" w:color="auto" w:sz="8" w:space="0"/>
              <w:bottom w:val="single" w:color="auto" w:sz="4" w:space="0"/>
              <w:right w:val="single" w:color="auto" w:sz="4" w:space="0"/>
            </w:tcBorders>
            <w:vAlign w:val="center"/>
          </w:tcPr>
          <w:p w14:paraId="57699197">
            <w:pPr>
              <w:widowControl/>
              <w:spacing w:line="500" w:lineRule="exact"/>
              <w:jc w:val="center"/>
              <w:rPr>
                <w:rFonts w:eastAsia="仿宋_GB2312"/>
                <w:color w:val="auto"/>
                <w:kern w:val="0"/>
                <w:highlight w:val="none"/>
              </w:rPr>
            </w:pPr>
            <w:r>
              <w:rPr>
                <w:rFonts w:hint="eastAsia" w:eastAsia="仿宋_GB2312"/>
                <w:color w:val="auto"/>
                <w:kern w:val="0"/>
                <w:highlight w:val="none"/>
              </w:rPr>
              <w:t>第</w:t>
            </w:r>
            <w:r>
              <w:rPr>
                <w:rFonts w:eastAsia="仿宋_GB2312"/>
                <w:color w:val="auto"/>
                <w:kern w:val="0"/>
                <w:highlight w:val="none"/>
              </w:rPr>
              <w:t>2</w:t>
            </w:r>
            <w:r>
              <w:rPr>
                <w:rFonts w:hint="eastAsia" w:eastAsia="仿宋_GB2312"/>
                <w:color w:val="auto"/>
                <w:kern w:val="0"/>
                <w:highlight w:val="none"/>
              </w:rPr>
              <w:t>年</w:t>
            </w:r>
          </w:p>
        </w:tc>
        <w:tc>
          <w:tcPr>
            <w:tcW w:w="2464" w:type="dxa"/>
            <w:tcBorders>
              <w:top w:val="nil"/>
              <w:left w:val="nil"/>
              <w:bottom w:val="single" w:color="auto" w:sz="4" w:space="0"/>
              <w:right w:val="single" w:color="auto" w:sz="4" w:space="0"/>
            </w:tcBorders>
            <w:vAlign w:val="center"/>
          </w:tcPr>
          <w:p w14:paraId="4341A06A">
            <w:pPr>
              <w:widowControl/>
              <w:spacing w:line="500" w:lineRule="exact"/>
              <w:jc w:val="center"/>
              <w:rPr>
                <w:rFonts w:hint="default" w:eastAsia="仿宋_GB2312"/>
                <w:color w:val="auto"/>
                <w:kern w:val="0"/>
                <w:highlight w:val="none"/>
                <w:lang w:val="en-US"/>
              </w:rPr>
            </w:pPr>
          </w:p>
        </w:tc>
        <w:tc>
          <w:tcPr>
            <w:tcW w:w="1648" w:type="dxa"/>
            <w:tcBorders>
              <w:top w:val="nil"/>
              <w:left w:val="nil"/>
              <w:bottom w:val="single" w:color="auto" w:sz="4" w:space="0"/>
              <w:right w:val="single" w:color="auto" w:sz="4" w:space="0"/>
            </w:tcBorders>
            <w:vAlign w:val="center"/>
          </w:tcPr>
          <w:p w14:paraId="1841A4BC">
            <w:pPr>
              <w:widowControl/>
              <w:spacing w:line="500" w:lineRule="exact"/>
              <w:jc w:val="center"/>
              <w:rPr>
                <w:rFonts w:hint="eastAsia" w:eastAsia="仿宋_GB2312"/>
                <w:color w:val="auto"/>
                <w:kern w:val="0"/>
                <w:highlight w:val="none"/>
                <w:lang w:val="en-US" w:eastAsia="zh-CN"/>
              </w:rPr>
            </w:pPr>
          </w:p>
        </w:tc>
        <w:tc>
          <w:tcPr>
            <w:tcW w:w="1843" w:type="dxa"/>
            <w:tcBorders>
              <w:top w:val="nil"/>
              <w:left w:val="nil"/>
              <w:bottom w:val="single" w:color="auto" w:sz="4" w:space="0"/>
              <w:right w:val="single" w:color="auto" w:sz="4" w:space="0"/>
            </w:tcBorders>
            <w:vAlign w:val="center"/>
          </w:tcPr>
          <w:p w14:paraId="7508DDE6">
            <w:pPr>
              <w:widowControl/>
              <w:spacing w:line="500" w:lineRule="exact"/>
              <w:jc w:val="center"/>
              <w:rPr>
                <w:rFonts w:hint="eastAsia" w:eastAsia="仿宋_GB2312"/>
                <w:color w:val="auto"/>
                <w:kern w:val="0"/>
                <w:highlight w:val="none"/>
                <w:lang w:val="en-US" w:eastAsia="zh-CN"/>
              </w:rPr>
            </w:pPr>
          </w:p>
        </w:tc>
        <w:tc>
          <w:tcPr>
            <w:tcW w:w="2268" w:type="dxa"/>
            <w:tcBorders>
              <w:top w:val="nil"/>
              <w:left w:val="nil"/>
              <w:bottom w:val="single" w:color="auto" w:sz="4" w:space="0"/>
              <w:right w:val="single" w:color="auto" w:sz="4" w:space="0"/>
            </w:tcBorders>
            <w:vAlign w:val="center"/>
          </w:tcPr>
          <w:p w14:paraId="786383C3">
            <w:pPr>
              <w:widowControl/>
              <w:spacing w:line="500" w:lineRule="exact"/>
              <w:jc w:val="center"/>
              <w:rPr>
                <w:rFonts w:hint="default" w:eastAsia="仿宋_GB2312"/>
                <w:color w:val="auto"/>
                <w:kern w:val="0"/>
                <w:highlight w:val="none"/>
                <w:lang w:val="en-US" w:eastAsia="zh-CN"/>
              </w:rPr>
            </w:pPr>
          </w:p>
        </w:tc>
      </w:tr>
      <w:tr w14:paraId="69CCE90A">
        <w:tblPrEx>
          <w:tblCellMar>
            <w:top w:w="0" w:type="dxa"/>
            <w:left w:w="108" w:type="dxa"/>
            <w:bottom w:w="0" w:type="dxa"/>
            <w:right w:w="108" w:type="dxa"/>
          </w:tblCellMar>
        </w:tblPrEx>
        <w:trPr>
          <w:trHeight w:val="408" w:hRule="atLeast"/>
        </w:trPr>
        <w:tc>
          <w:tcPr>
            <w:tcW w:w="1134" w:type="dxa"/>
            <w:tcBorders>
              <w:top w:val="nil"/>
              <w:left w:val="single" w:color="auto" w:sz="8" w:space="0"/>
              <w:bottom w:val="single" w:color="auto" w:sz="4" w:space="0"/>
              <w:right w:val="single" w:color="auto" w:sz="4" w:space="0"/>
            </w:tcBorders>
            <w:vAlign w:val="center"/>
          </w:tcPr>
          <w:p w14:paraId="052576EB">
            <w:pPr>
              <w:widowControl/>
              <w:spacing w:line="500" w:lineRule="exact"/>
              <w:jc w:val="center"/>
              <w:rPr>
                <w:rFonts w:eastAsia="仿宋_GB2312"/>
                <w:color w:val="auto"/>
                <w:kern w:val="0"/>
                <w:highlight w:val="none"/>
              </w:rPr>
            </w:pPr>
            <w:r>
              <w:rPr>
                <w:rFonts w:hint="eastAsia" w:eastAsia="仿宋_GB2312"/>
                <w:color w:val="auto"/>
                <w:kern w:val="0"/>
                <w:highlight w:val="none"/>
              </w:rPr>
              <w:t>第</w:t>
            </w:r>
            <w:r>
              <w:rPr>
                <w:rFonts w:eastAsia="仿宋_GB2312"/>
                <w:color w:val="auto"/>
                <w:kern w:val="0"/>
                <w:highlight w:val="none"/>
              </w:rPr>
              <w:t>3</w:t>
            </w:r>
            <w:r>
              <w:rPr>
                <w:rFonts w:hint="eastAsia" w:eastAsia="仿宋_GB2312"/>
                <w:color w:val="auto"/>
                <w:kern w:val="0"/>
                <w:highlight w:val="none"/>
              </w:rPr>
              <w:t>年</w:t>
            </w:r>
          </w:p>
        </w:tc>
        <w:tc>
          <w:tcPr>
            <w:tcW w:w="2464" w:type="dxa"/>
            <w:tcBorders>
              <w:top w:val="nil"/>
              <w:left w:val="nil"/>
              <w:bottom w:val="single" w:color="auto" w:sz="4" w:space="0"/>
              <w:right w:val="single" w:color="auto" w:sz="4" w:space="0"/>
            </w:tcBorders>
            <w:vAlign w:val="center"/>
          </w:tcPr>
          <w:p w14:paraId="56DF08B0">
            <w:pPr>
              <w:widowControl/>
              <w:spacing w:line="500" w:lineRule="exact"/>
              <w:jc w:val="center"/>
              <w:rPr>
                <w:rFonts w:hint="default" w:eastAsia="仿宋_GB2312"/>
                <w:color w:val="auto"/>
                <w:kern w:val="0"/>
                <w:highlight w:val="none"/>
                <w:lang w:val="en-US"/>
              </w:rPr>
            </w:pPr>
          </w:p>
        </w:tc>
        <w:tc>
          <w:tcPr>
            <w:tcW w:w="1648" w:type="dxa"/>
            <w:tcBorders>
              <w:top w:val="nil"/>
              <w:left w:val="nil"/>
              <w:bottom w:val="single" w:color="auto" w:sz="4" w:space="0"/>
              <w:right w:val="single" w:color="auto" w:sz="4" w:space="0"/>
            </w:tcBorders>
            <w:vAlign w:val="center"/>
          </w:tcPr>
          <w:p w14:paraId="5AE9C2C8">
            <w:pPr>
              <w:widowControl/>
              <w:spacing w:line="500" w:lineRule="exact"/>
              <w:jc w:val="center"/>
              <w:rPr>
                <w:rFonts w:hint="eastAsia" w:eastAsia="仿宋_GB2312"/>
                <w:color w:val="auto"/>
                <w:kern w:val="0"/>
                <w:highlight w:val="none"/>
                <w:lang w:val="en-US" w:eastAsia="zh-CN"/>
              </w:rPr>
            </w:pPr>
          </w:p>
        </w:tc>
        <w:tc>
          <w:tcPr>
            <w:tcW w:w="1843" w:type="dxa"/>
            <w:tcBorders>
              <w:top w:val="nil"/>
              <w:left w:val="nil"/>
              <w:bottom w:val="single" w:color="auto" w:sz="4" w:space="0"/>
              <w:right w:val="single" w:color="auto" w:sz="4" w:space="0"/>
            </w:tcBorders>
            <w:vAlign w:val="center"/>
          </w:tcPr>
          <w:p w14:paraId="5C199301">
            <w:pPr>
              <w:widowControl/>
              <w:spacing w:line="500" w:lineRule="exact"/>
              <w:jc w:val="center"/>
              <w:rPr>
                <w:rFonts w:hint="eastAsia" w:eastAsia="仿宋_GB2312"/>
                <w:color w:val="auto"/>
                <w:kern w:val="0"/>
                <w:highlight w:val="none"/>
                <w:lang w:val="en-US" w:eastAsia="zh-CN"/>
              </w:rPr>
            </w:pPr>
          </w:p>
        </w:tc>
        <w:tc>
          <w:tcPr>
            <w:tcW w:w="2268" w:type="dxa"/>
            <w:tcBorders>
              <w:top w:val="nil"/>
              <w:left w:val="nil"/>
              <w:bottom w:val="single" w:color="auto" w:sz="4" w:space="0"/>
              <w:right w:val="single" w:color="auto" w:sz="4" w:space="0"/>
            </w:tcBorders>
            <w:vAlign w:val="center"/>
          </w:tcPr>
          <w:p w14:paraId="08C840FE">
            <w:pPr>
              <w:widowControl/>
              <w:spacing w:line="500" w:lineRule="exact"/>
              <w:jc w:val="center"/>
              <w:rPr>
                <w:rFonts w:hint="eastAsia" w:eastAsia="仿宋_GB2312"/>
                <w:color w:val="auto"/>
                <w:kern w:val="0"/>
                <w:highlight w:val="none"/>
                <w:lang w:val="en-US" w:eastAsia="zh-CN"/>
              </w:rPr>
            </w:pPr>
          </w:p>
        </w:tc>
      </w:tr>
      <w:tr w14:paraId="58B4C2E6">
        <w:tblPrEx>
          <w:tblCellMar>
            <w:top w:w="0" w:type="dxa"/>
            <w:left w:w="108" w:type="dxa"/>
            <w:bottom w:w="0" w:type="dxa"/>
            <w:right w:w="108" w:type="dxa"/>
          </w:tblCellMar>
        </w:tblPrEx>
        <w:trPr>
          <w:trHeight w:val="458" w:hRule="atLeast"/>
        </w:trPr>
        <w:tc>
          <w:tcPr>
            <w:tcW w:w="1134" w:type="dxa"/>
            <w:tcBorders>
              <w:top w:val="nil"/>
              <w:left w:val="single" w:color="auto" w:sz="8" w:space="0"/>
              <w:bottom w:val="single" w:color="auto" w:sz="4" w:space="0"/>
              <w:right w:val="single" w:color="auto" w:sz="4" w:space="0"/>
            </w:tcBorders>
            <w:vAlign w:val="center"/>
          </w:tcPr>
          <w:p w14:paraId="74207FA9">
            <w:pPr>
              <w:widowControl/>
              <w:spacing w:line="500" w:lineRule="exact"/>
              <w:jc w:val="center"/>
              <w:rPr>
                <w:rFonts w:eastAsia="仿宋_GB2312"/>
                <w:color w:val="auto"/>
                <w:kern w:val="0"/>
                <w:highlight w:val="none"/>
              </w:rPr>
            </w:pPr>
            <w:r>
              <w:rPr>
                <w:rFonts w:hint="eastAsia" w:eastAsia="仿宋_GB2312"/>
                <w:color w:val="auto"/>
                <w:kern w:val="0"/>
                <w:highlight w:val="none"/>
              </w:rPr>
              <w:t>合计</w:t>
            </w:r>
          </w:p>
        </w:tc>
        <w:tc>
          <w:tcPr>
            <w:tcW w:w="8223" w:type="dxa"/>
            <w:gridSpan w:val="4"/>
            <w:tcBorders>
              <w:top w:val="nil"/>
              <w:left w:val="nil"/>
              <w:bottom w:val="single" w:color="auto" w:sz="4" w:space="0"/>
              <w:right w:val="single" w:color="auto" w:sz="4" w:space="0"/>
            </w:tcBorders>
            <w:vAlign w:val="center"/>
          </w:tcPr>
          <w:p w14:paraId="28E11A57">
            <w:pPr>
              <w:widowControl/>
              <w:spacing w:line="500" w:lineRule="exact"/>
              <w:ind w:right="320"/>
              <w:jc w:val="left"/>
              <w:rPr>
                <w:rFonts w:eastAsia="仿宋_GB2312"/>
                <w:b/>
                <w:bCs/>
                <w:color w:val="auto"/>
                <w:kern w:val="0"/>
                <w:highlight w:val="none"/>
              </w:rPr>
            </w:pPr>
            <w:r>
              <w:rPr>
                <w:rFonts w:hint="eastAsia" w:eastAsia="仿宋_GB2312"/>
                <w:b/>
                <w:bCs/>
                <w:color w:val="auto"/>
                <w:kern w:val="0"/>
                <w:highlight w:val="none"/>
              </w:rPr>
              <w:t>人民币：</w:t>
            </w:r>
            <w:r>
              <w:rPr>
                <w:rFonts w:eastAsia="仿宋_GB2312"/>
                <w:b/>
                <w:bCs/>
                <w:color w:val="auto"/>
                <w:kern w:val="0"/>
                <w:highlight w:val="none"/>
                <w:u w:val="single"/>
              </w:rPr>
              <w:t xml:space="preserve">  </w:t>
            </w:r>
            <w:r>
              <w:rPr>
                <w:rFonts w:hint="eastAsia" w:eastAsia="仿宋_GB2312"/>
                <w:b/>
                <w:bCs/>
                <w:color w:val="auto"/>
                <w:kern w:val="0"/>
                <w:highlight w:val="none"/>
              </w:rPr>
              <w:t>佰</w:t>
            </w:r>
            <w:r>
              <w:rPr>
                <w:rFonts w:eastAsia="仿宋_GB2312"/>
                <w:b/>
                <w:bCs/>
                <w:color w:val="auto"/>
                <w:kern w:val="0"/>
                <w:highlight w:val="none"/>
                <w:u w:val="single"/>
              </w:rPr>
              <w:t xml:space="preserve">  </w:t>
            </w:r>
            <w:r>
              <w:rPr>
                <w:rFonts w:hint="eastAsia" w:eastAsia="仿宋_GB2312"/>
                <w:b/>
                <w:bCs/>
                <w:color w:val="auto"/>
                <w:kern w:val="0"/>
                <w:highlight w:val="none"/>
              </w:rPr>
              <w:t>拾</w:t>
            </w:r>
            <w:r>
              <w:rPr>
                <w:rFonts w:eastAsia="仿宋_GB2312"/>
                <w:b/>
                <w:bCs/>
                <w:color w:val="auto"/>
                <w:kern w:val="0"/>
                <w:highlight w:val="none"/>
                <w:u w:val="single"/>
              </w:rPr>
              <w:t xml:space="preserve">  </w:t>
            </w:r>
            <w:r>
              <w:rPr>
                <w:rFonts w:hint="eastAsia" w:eastAsia="仿宋_GB2312"/>
                <w:b/>
                <w:bCs/>
                <w:color w:val="auto"/>
                <w:kern w:val="0"/>
                <w:highlight w:val="none"/>
              </w:rPr>
              <w:t>万</w:t>
            </w:r>
            <w:r>
              <w:rPr>
                <w:rFonts w:eastAsia="仿宋_GB2312"/>
                <w:b/>
                <w:bCs/>
                <w:color w:val="auto"/>
                <w:kern w:val="0"/>
                <w:highlight w:val="none"/>
                <w:u w:val="single"/>
              </w:rPr>
              <w:t xml:space="preserve"> </w:t>
            </w:r>
            <w:r>
              <w:rPr>
                <w:rFonts w:hint="eastAsia" w:eastAsia="仿宋_GB2312"/>
                <w:b/>
                <w:bCs/>
                <w:color w:val="auto"/>
                <w:kern w:val="0"/>
                <w:highlight w:val="none"/>
                <w:u w:val="single"/>
                <w:lang w:val="en-US" w:eastAsia="zh-CN"/>
              </w:rPr>
              <w:t xml:space="preserve"> </w:t>
            </w:r>
            <w:r>
              <w:rPr>
                <w:rFonts w:hint="eastAsia" w:eastAsia="仿宋_GB2312"/>
                <w:b/>
                <w:bCs/>
                <w:color w:val="auto"/>
                <w:kern w:val="0"/>
                <w:highlight w:val="none"/>
              </w:rPr>
              <w:t>仟</w:t>
            </w:r>
            <w:r>
              <w:rPr>
                <w:rFonts w:eastAsia="仿宋_GB2312"/>
                <w:b/>
                <w:bCs/>
                <w:color w:val="auto"/>
                <w:kern w:val="0"/>
                <w:highlight w:val="none"/>
                <w:u w:val="single"/>
              </w:rPr>
              <w:t xml:space="preserve"> </w:t>
            </w:r>
            <w:r>
              <w:rPr>
                <w:rFonts w:hint="eastAsia" w:eastAsia="仿宋_GB2312"/>
                <w:b/>
                <w:bCs/>
                <w:color w:val="auto"/>
                <w:kern w:val="0"/>
                <w:highlight w:val="none"/>
                <w:u w:val="single"/>
                <w:lang w:val="en-US" w:eastAsia="zh-CN"/>
              </w:rPr>
              <w:t xml:space="preserve"> </w:t>
            </w:r>
            <w:r>
              <w:rPr>
                <w:rFonts w:hint="eastAsia" w:eastAsia="仿宋_GB2312"/>
                <w:b/>
                <w:bCs/>
                <w:color w:val="auto"/>
                <w:kern w:val="0"/>
                <w:highlight w:val="none"/>
              </w:rPr>
              <w:t>佰</w:t>
            </w:r>
            <w:r>
              <w:rPr>
                <w:rFonts w:hint="eastAsia" w:eastAsia="仿宋_GB2312"/>
                <w:b/>
                <w:bCs/>
                <w:color w:val="auto"/>
                <w:kern w:val="0"/>
                <w:highlight w:val="none"/>
                <w:u w:val="single"/>
                <w:lang w:val="en-US" w:eastAsia="zh-CN"/>
              </w:rPr>
              <w:t xml:space="preserve"> </w:t>
            </w:r>
            <w:r>
              <w:rPr>
                <w:rFonts w:eastAsia="仿宋_GB2312"/>
                <w:b/>
                <w:bCs/>
                <w:color w:val="auto"/>
                <w:kern w:val="0"/>
                <w:highlight w:val="none"/>
                <w:u w:val="single"/>
              </w:rPr>
              <w:t xml:space="preserve"> </w:t>
            </w:r>
            <w:r>
              <w:rPr>
                <w:rFonts w:hint="eastAsia" w:eastAsia="仿宋_GB2312"/>
                <w:b/>
                <w:bCs/>
                <w:color w:val="auto"/>
                <w:kern w:val="0"/>
                <w:highlight w:val="none"/>
                <w:u w:val="none"/>
              </w:rPr>
              <w:t>拾</w:t>
            </w:r>
            <w:r>
              <w:rPr>
                <w:rFonts w:hint="eastAsia" w:eastAsia="仿宋_GB2312"/>
                <w:b/>
                <w:bCs/>
                <w:color w:val="auto"/>
                <w:kern w:val="0"/>
                <w:highlight w:val="none"/>
                <w:u w:val="single"/>
                <w:lang w:val="en-US" w:eastAsia="zh-CN"/>
              </w:rPr>
              <w:t xml:space="preserve">  </w:t>
            </w:r>
            <w:r>
              <w:rPr>
                <w:rFonts w:hint="eastAsia" w:eastAsia="仿宋_GB2312"/>
                <w:b/>
                <w:bCs/>
                <w:color w:val="auto"/>
                <w:kern w:val="0"/>
                <w:highlight w:val="none"/>
                <w:u w:val="none"/>
              </w:rPr>
              <w:t>元</w:t>
            </w:r>
            <w:r>
              <w:rPr>
                <w:rFonts w:eastAsia="仿宋_GB2312"/>
                <w:b/>
                <w:bCs/>
                <w:color w:val="auto"/>
                <w:kern w:val="0"/>
                <w:highlight w:val="none"/>
                <w:u w:val="single"/>
              </w:rPr>
              <w:t xml:space="preserve">  </w:t>
            </w:r>
            <w:r>
              <w:rPr>
                <w:rFonts w:hint="eastAsia" w:eastAsia="仿宋_GB2312"/>
                <w:b/>
                <w:bCs/>
                <w:color w:val="auto"/>
                <w:kern w:val="0"/>
                <w:highlight w:val="none"/>
              </w:rPr>
              <w:t>角</w:t>
            </w:r>
            <w:r>
              <w:rPr>
                <w:rFonts w:eastAsia="仿宋_GB2312"/>
                <w:b/>
                <w:bCs/>
                <w:color w:val="auto"/>
                <w:kern w:val="0"/>
                <w:highlight w:val="none"/>
                <w:u w:val="single"/>
              </w:rPr>
              <w:t xml:space="preserve">  </w:t>
            </w:r>
            <w:r>
              <w:rPr>
                <w:rFonts w:hint="eastAsia" w:eastAsia="仿宋_GB2312"/>
                <w:b/>
                <w:bCs/>
                <w:color w:val="auto"/>
                <w:kern w:val="0"/>
                <w:highlight w:val="none"/>
              </w:rPr>
              <w:t>分</w:t>
            </w:r>
          </w:p>
          <w:p w14:paraId="591FEB20">
            <w:pPr>
              <w:widowControl/>
              <w:spacing w:line="500" w:lineRule="exact"/>
              <w:ind w:right="320"/>
              <w:jc w:val="left"/>
              <w:rPr>
                <w:rFonts w:hint="default" w:eastAsia="仿宋_GB2312"/>
                <w:color w:val="auto"/>
                <w:kern w:val="0"/>
                <w:highlight w:val="none"/>
                <w:lang w:val="en-US" w:eastAsia="zh-CN"/>
              </w:rPr>
            </w:pPr>
            <w:r>
              <w:rPr>
                <w:rFonts w:hint="eastAsia" w:eastAsia="仿宋_GB2312"/>
                <w:b/>
                <w:bCs/>
                <w:color w:val="auto"/>
                <w:kern w:val="0"/>
                <w:highlight w:val="none"/>
              </w:rPr>
              <w:t>（￥：</w:t>
            </w:r>
            <w:r>
              <w:rPr>
                <w:rFonts w:hint="eastAsia" w:eastAsia="仿宋_GB2312"/>
                <w:b/>
                <w:bCs/>
                <w:color w:val="auto"/>
                <w:kern w:val="0"/>
                <w:highlight w:val="none"/>
                <w:u w:val="single"/>
                <w:lang w:val="en-US" w:eastAsia="zh-CN"/>
              </w:rPr>
              <w:t xml:space="preserve">        </w:t>
            </w:r>
            <w:r>
              <w:rPr>
                <w:rFonts w:eastAsia="仿宋_GB2312"/>
                <w:b/>
                <w:bCs/>
                <w:color w:val="auto"/>
                <w:kern w:val="0"/>
                <w:highlight w:val="none"/>
                <w:u w:val="single"/>
              </w:rPr>
              <w:t xml:space="preserve"> </w:t>
            </w:r>
            <w:r>
              <w:rPr>
                <w:rFonts w:hint="eastAsia" w:eastAsia="仿宋_GB2312"/>
                <w:b/>
                <w:bCs/>
                <w:color w:val="auto"/>
                <w:kern w:val="0"/>
                <w:highlight w:val="none"/>
              </w:rPr>
              <w:t>元）</w:t>
            </w:r>
            <w:r>
              <w:rPr>
                <w:rFonts w:hint="eastAsia" w:eastAsia="仿宋_GB2312"/>
                <w:b/>
                <w:bCs/>
                <w:color w:val="auto"/>
                <w:kern w:val="0"/>
                <w:highlight w:val="none"/>
                <w:lang w:val="en-US" w:eastAsia="zh-CN"/>
              </w:rPr>
              <w:t xml:space="preserve">   </w:t>
            </w:r>
          </w:p>
        </w:tc>
      </w:tr>
    </w:tbl>
    <w:p w14:paraId="15AC0A1F">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p>
    <w:p w14:paraId="30AA99C0">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租金递增按照以下</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款政策执行：</w:t>
      </w:r>
    </w:p>
    <w:p w14:paraId="60484D8E">
      <w:pPr>
        <w:keepNext w:val="0"/>
        <w:keepLines w:val="0"/>
        <w:pageBreakBefore w:val="0"/>
        <w:kinsoku/>
        <w:overflowPunct/>
        <w:topLinePunct w:val="0"/>
        <w:autoSpaceDE/>
        <w:autoSpaceDN/>
        <w:bidi w:val="0"/>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A：租金不递增</w:t>
      </w:r>
    </w:p>
    <w:p w14:paraId="030C2F4B">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B：租金递增：前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年不递增，第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年在第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年基础上递增</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%，第  年在第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年基础上递增</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%，如有续签，第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年在第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年基础上递增</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年在第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年基础上递增</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14:paraId="4B5041A8">
      <w:pPr>
        <w:keepNext w:val="0"/>
        <w:keepLines w:val="0"/>
        <w:pageBreakBefore w:val="0"/>
        <w:numPr>
          <w:ilvl w:val="0"/>
          <w:numId w:val="0"/>
        </w:numPr>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第五条</w:t>
      </w:r>
      <w:r>
        <w:rPr>
          <w:rFonts w:hint="eastAsia" w:ascii="仿宋_GB2312" w:hAnsi="仿宋_GB2312" w:eastAsia="仿宋_GB2312" w:cs="仿宋_GB2312"/>
          <w:color w:val="auto"/>
          <w:sz w:val="28"/>
          <w:szCs w:val="28"/>
          <w:highlight w:val="none"/>
        </w:rPr>
        <w:t>租金支付方式</w:t>
      </w:r>
    </w:p>
    <w:p w14:paraId="60B58F47">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strike w:val="0"/>
          <w:color w:val="auto"/>
          <w:sz w:val="28"/>
          <w:szCs w:val="28"/>
          <w:highlight w:val="none"/>
          <w:lang w:val="en-US" w:eastAsia="zh-CN"/>
        </w:rPr>
      </w:pPr>
      <w:r>
        <w:rPr>
          <w:rFonts w:hint="eastAsia" w:ascii="仿宋_GB2312" w:hAnsi="仿宋_GB2312" w:eastAsia="仿宋_GB2312" w:cs="仿宋_GB2312"/>
          <w:color w:val="auto"/>
          <w:sz w:val="28"/>
          <w:szCs w:val="28"/>
          <w:highlight w:val="none"/>
        </w:rPr>
        <w:t>租金按</w:t>
      </w:r>
      <w:r>
        <w:rPr>
          <w:rFonts w:hint="eastAsia" w:ascii="仿宋_GB2312" w:hAnsi="仿宋_GB2312" w:eastAsia="仿宋_GB2312" w:cs="仿宋_GB2312"/>
          <w:color w:val="auto"/>
          <w:sz w:val="28"/>
          <w:szCs w:val="28"/>
          <w:highlight w:val="none"/>
          <w:u w:val="none"/>
          <w:lang w:val="en-US" w:eastAsia="zh-CN"/>
        </w:rPr>
        <w:t>季度</w:t>
      </w:r>
      <w:r>
        <w:rPr>
          <w:rFonts w:hint="eastAsia" w:ascii="仿宋_GB2312" w:hAnsi="仿宋_GB2312" w:eastAsia="仿宋_GB2312" w:cs="仿宋_GB2312"/>
          <w:color w:val="auto"/>
          <w:sz w:val="28"/>
          <w:szCs w:val="28"/>
          <w:highlight w:val="none"/>
        </w:rPr>
        <w:t>支付，采用先付租金后使用的方式，乙方应当于本合同签订的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日</w:t>
      </w:r>
      <w:r>
        <w:rPr>
          <w:rFonts w:hint="eastAsia" w:ascii="仿宋_GB2312" w:hAnsi="仿宋_GB2312" w:eastAsia="仿宋_GB2312" w:cs="仿宋_GB2312"/>
          <w:color w:val="auto"/>
          <w:sz w:val="28"/>
          <w:szCs w:val="28"/>
          <w:highlight w:val="none"/>
          <w:u w:val="none"/>
        </w:rPr>
        <w:t>内</w:t>
      </w:r>
      <w:r>
        <w:rPr>
          <w:rFonts w:hint="eastAsia" w:ascii="仿宋_GB2312" w:hAnsi="仿宋_GB2312" w:eastAsia="仿宋_GB2312" w:cs="仿宋_GB2312"/>
          <w:color w:val="auto"/>
          <w:sz w:val="28"/>
          <w:szCs w:val="28"/>
          <w:highlight w:val="none"/>
        </w:rPr>
        <w:t>向甲方支付第一</w:t>
      </w:r>
      <w:r>
        <w:rPr>
          <w:rFonts w:hint="eastAsia" w:ascii="仿宋_GB2312" w:hAnsi="仿宋_GB2312" w:eastAsia="仿宋_GB2312" w:cs="仿宋_GB2312"/>
          <w:color w:val="auto"/>
          <w:sz w:val="28"/>
          <w:szCs w:val="28"/>
          <w:highlight w:val="none"/>
          <w:lang w:val="en-US" w:eastAsia="zh-CN"/>
        </w:rPr>
        <w:t>季度</w:t>
      </w:r>
      <w:r>
        <w:rPr>
          <w:rFonts w:hint="eastAsia" w:ascii="仿宋_GB2312" w:hAnsi="仿宋_GB2312" w:eastAsia="仿宋_GB2312" w:cs="仿宋_GB2312"/>
          <w:color w:val="auto"/>
          <w:sz w:val="28"/>
          <w:szCs w:val="28"/>
          <w:highlight w:val="none"/>
        </w:rPr>
        <w:t>租金，此后租金应于</w:t>
      </w:r>
      <w:r>
        <w:rPr>
          <w:rFonts w:hint="eastAsia" w:ascii="仿宋_GB2312" w:hAnsi="仿宋_GB2312" w:eastAsia="仿宋_GB2312" w:cs="仿宋_GB2312"/>
          <w:color w:val="auto"/>
          <w:sz w:val="28"/>
          <w:szCs w:val="28"/>
          <w:highlight w:val="none"/>
          <w:lang w:val="en-US" w:eastAsia="zh-CN"/>
        </w:rPr>
        <w:t xml:space="preserve">每季度开始之前 </w:t>
      </w:r>
      <w:r>
        <w:rPr>
          <w:rFonts w:hint="eastAsia" w:ascii="仿宋_GB2312" w:hAnsi="仿宋_GB2312" w:eastAsia="仿宋_GB2312" w:cs="仿宋_GB2312"/>
          <w:color w:val="auto"/>
          <w:sz w:val="28"/>
          <w:szCs w:val="28"/>
          <w:highlight w:val="none"/>
        </w:rPr>
        <w:t>，将</w:t>
      </w:r>
      <w:r>
        <w:rPr>
          <w:rFonts w:hint="eastAsia" w:ascii="仿宋_GB2312" w:hAnsi="仿宋_GB2312" w:eastAsia="仿宋_GB2312" w:cs="仿宋_GB2312"/>
          <w:color w:val="auto"/>
          <w:sz w:val="28"/>
          <w:szCs w:val="28"/>
          <w:highlight w:val="none"/>
          <w:lang w:val="en-US" w:eastAsia="zh-CN"/>
        </w:rPr>
        <w:t>下季度</w:t>
      </w:r>
      <w:r>
        <w:rPr>
          <w:rFonts w:hint="eastAsia" w:ascii="仿宋_GB2312" w:hAnsi="仿宋_GB2312" w:eastAsia="仿宋_GB2312" w:cs="仿宋_GB2312"/>
          <w:color w:val="auto"/>
          <w:sz w:val="28"/>
          <w:szCs w:val="28"/>
          <w:highlight w:val="none"/>
        </w:rPr>
        <w:t>租金存入</w:t>
      </w:r>
      <w:r>
        <w:rPr>
          <w:rFonts w:hint="eastAsia" w:ascii="仿宋_GB2312" w:hAnsi="仿宋_GB2312" w:eastAsia="仿宋_GB2312" w:cs="仿宋_GB2312"/>
          <w:strike w:val="0"/>
          <w:dstrike w:val="0"/>
          <w:color w:val="auto"/>
          <w:sz w:val="28"/>
          <w:szCs w:val="28"/>
          <w:highlight w:val="none"/>
          <w:lang w:val="en-US" w:eastAsia="zh-CN"/>
        </w:rPr>
        <w:t>以下甲方指定账户：</w:t>
      </w:r>
    </w:p>
    <w:p w14:paraId="0BC7F0F6">
      <w:pPr>
        <w:keepNext w:val="0"/>
        <w:keepLines w:val="0"/>
        <w:pageBreakBefore w:val="0"/>
        <w:kinsoku/>
        <w:overflowPunct/>
        <w:topLinePunct w:val="0"/>
        <w:autoSpaceDE/>
        <w:autoSpaceDN/>
        <w:bidi w:val="0"/>
        <w:spacing w:line="240" w:lineRule="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开户银行：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w:t>
      </w:r>
    </w:p>
    <w:p w14:paraId="3F757F7E">
      <w:pPr>
        <w:keepNext w:val="0"/>
        <w:keepLines w:val="0"/>
        <w:pageBreakBefore w:val="0"/>
        <w:kinsoku/>
        <w:overflowPunct/>
        <w:topLinePunct w:val="0"/>
        <w:autoSpaceDE/>
        <w:autoSpaceDN/>
        <w:bidi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782C13BF">
      <w:pPr>
        <w:keepNext w:val="0"/>
        <w:keepLines w:val="0"/>
        <w:pageBreakBefore w:val="0"/>
        <w:kinsoku/>
        <w:overflowPunct/>
        <w:topLinePunct w:val="0"/>
        <w:autoSpaceDE/>
        <w:autoSpaceDN/>
        <w:bidi w:val="0"/>
        <w:spacing w:line="24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帐号：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p>
    <w:p w14:paraId="6C1383FA">
      <w:pPr>
        <w:keepNext w:val="0"/>
        <w:keepLines w:val="0"/>
        <w:pageBreakBefore w:val="0"/>
        <w:numPr>
          <w:ilvl w:val="0"/>
          <w:numId w:val="0"/>
        </w:numPr>
        <w:kinsoku/>
        <w:overflowPunct/>
        <w:topLinePunct w:val="0"/>
        <w:autoSpaceDE/>
        <w:autoSpaceDN/>
        <w:bidi w:val="0"/>
        <w:spacing w:line="240" w:lineRule="auto"/>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第六条</w:t>
      </w:r>
      <w:r>
        <w:rPr>
          <w:rFonts w:hint="eastAsia" w:ascii="仿宋_GB2312" w:hAnsi="仿宋_GB2312" w:eastAsia="仿宋_GB2312" w:cs="仿宋_GB2312"/>
          <w:color w:val="auto"/>
          <w:sz w:val="28"/>
          <w:szCs w:val="28"/>
          <w:highlight w:val="none"/>
          <w:lang w:val="en-US" w:eastAsia="zh-CN"/>
        </w:rPr>
        <w:t>免租期</w:t>
      </w:r>
    </w:p>
    <w:p w14:paraId="3414D2C5">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免租期按照以下</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款政策执行：</w:t>
      </w:r>
    </w:p>
    <w:p w14:paraId="7AA1208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A：免租期共</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个月，分阶段进行，第一年免租</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个月租金，第二年免租</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个月租金，第三年免租</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个月租金，第四年免租</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个月租金，第五年免租</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个月租金（注：免租期每年年末执行）。</w:t>
      </w:r>
    </w:p>
    <w:p w14:paraId="49642CA8">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B：已装修无免租期。</w:t>
      </w:r>
    </w:p>
    <w:p w14:paraId="4AC0CDDD">
      <w:pPr>
        <w:keepNext w:val="0"/>
        <w:keepLines w:val="0"/>
        <w:pageBreakBefore w:val="0"/>
        <w:kinsoku/>
        <w:overflowPunct/>
        <w:topLinePunct w:val="0"/>
        <w:autoSpaceDE/>
        <w:autoSpaceDN/>
        <w:bidi w:val="0"/>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乙方应按程序正常缴纳免租期对应租金，待乙方承租期限届满后，15个工作内退还免租期对应租金金额（免租期租金金额不计利息）；若提前解除合同，还需扣减乙方免租期租金（含装修免租期</w:t>
      </w:r>
      <w:r>
        <w:rPr>
          <w:rFonts w:hint="default" w:ascii="仿宋_GB2312" w:hAnsi="仿宋_GB2312" w:eastAsia="仿宋_GB2312" w:cs="仿宋_GB2312"/>
          <w:color w:val="auto"/>
          <w:sz w:val="28"/>
          <w:szCs w:val="28"/>
          <w:highlight w:val="none"/>
          <w:u w:val="single"/>
          <w:lang w:val="en-US" w:eastAsia="zh-CN"/>
        </w:rPr>
        <w:t xml:space="preserve">     </w:t>
      </w:r>
      <w:r>
        <w:rPr>
          <w:rFonts w:hint="default" w:ascii="仿宋_GB2312" w:hAnsi="仿宋_GB2312" w:eastAsia="仿宋_GB2312" w:cs="仿宋_GB2312"/>
          <w:color w:val="auto"/>
          <w:sz w:val="28"/>
          <w:szCs w:val="28"/>
          <w:highlight w:val="none"/>
          <w:lang w:val="en-US" w:eastAsia="zh-CN"/>
        </w:rPr>
        <w:t>个月、经营免租期</w:t>
      </w:r>
      <w:r>
        <w:rPr>
          <w:rFonts w:hint="default" w:ascii="仿宋_GB2312" w:hAnsi="仿宋_GB2312" w:eastAsia="仿宋_GB2312" w:cs="仿宋_GB2312"/>
          <w:color w:val="auto"/>
          <w:sz w:val="28"/>
          <w:szCs w:val="28"/>
          <w:highlight w:val="none"/>
          <w:u w:val="single"/>
          <w:lang w:val="en-US" w:eastAsia="zh-CN"/>
        </w:rPr>
        <w:t xml:space="preserve">     </w:t>
      </w:r>
      <w:r>
        <w:rPr>
          <w:rFonts w:hint="default" w:ascii="仿宋_GB2312" w:hAnsi="仿宋_GB2312" w:eastAsia="仿宋_GB2312" w:cs="仿宋_GB2312"/>
          <w:color w:val="auto"/>
          <w:sz w:val="28"/>
          <w:szCs w:val="28"/>
          <w:highlight w:val="none"/>
          <w:lang w:val="en-US" w:eastAsia="zh-CN"/>
        </w:rPr>
        <w:t xml:space="preserve">个月，共计 </w:t>
      </w:r>
      <w:r>
        <w:rPr>
          <w:rFonts w:hint="default" w:ascii="仿宋_GB2312" w:hAnsi="仿宋_GB2312" w:eastAsia="仿宋_GB2312" w:cs="仿宋_GB2312"/>
          <w:color w:val="auto"/>
          <w:sz w:val="28"/>
          <w:szCs w:val="28"/>
          <w:highlight w:val="none"/>
          <w:u w:val="single"/>
          <w:lang w:val="en-US" w:eastAsia="zh-CN"/>
        </w:rPr>
        <w:t xml:space="preserve">    </w:t>
      </w:r>
      <w:r>
        <w:rPr>
          <w:rFonts w:hint="default" w:ascii="仿宋_GB2312" w:hAnsi="仿宋_GB2312" w:eastAsia="仿宋_GB2312" w:cs="仿宋_GB2312"/>
          <w:color w:val="auto"/>
          <w:sz w:val="28"/>
          <w:szCs w:val="28"/>
          <w:highlight w:val="none"/>
          <w:lang w:val="en-US" w:eastAsia="zh-CN"/>
        </w:rPr>
        <w:t>个月）不予减免。</w:t>
      </w:r>
    </w:p>
    <w:p w14:paraId="3D42B1E2">
      <w:pPr>
        <w:keepNext w:val="0"/>
        <w:keepLines w:val="0"/>
        <w:pageBreakBefore w:val="0"/>
        <w:numPr>
          <w:ilvl w:val="0"/>
          <w:numId w:val="0"/>
        </w:numPr>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第七条</w:t>
      </w:r>
      <w:r>
        <w:rPr>
          <w:rFonts w:hint="eastAsia" w:ascii="仿宋_GB2312" w:hAnsi="仿宋_GB2312" w:eastAsia="仿宋_GB2312" w:cs="仿宋_GB2312"/>
          <w:color w:val="auto"/>
          <w:sz w:val="28"/>
          <w:szCs w:val="28"/>
          <w:highlight w:val="none"/>
        </w:rPr>
        <w:t>合同履约保证金</w:t>
      </w:r>
    </w:p>
    <w:p w14:paraId="5AB83B75">
      <w:pPr>
        <w:keepNext w:val="0"/>
        <w:keepLines w:val="0"/>
        <w:pageBreakBefore w:val="0"/>
        <w:kinsoku/>
        <w:overflowPunct/>
        <w:topLinePunct w:val="0"/>
        <w:autoSpaceDE/>
        <w:autoSpaceDN/>
        <w:bidi w:val="0"/>
        <w:spacing w:line="240" w:lineRule="auto"/>
        <w:ind w:right="88" w:rightChars="42"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乙方应在本合同签订</w:t>
      </w:r>
      <w:r>
        <w:rPr>
          <w:rFonts w:hint="eastAsia" w:ascii="仿宋_GB2312" w:hAnsi="仿宋_GB2312" w:eastAsia="仿宋_GB2312" w:cs="仿宋_GB2312"/>
          <w:color w:val="auto"/>
          <w:kern w:val="0"/>
          <w:sz w:val="28"/>
          <w:szCs w:val="28"/>
          <w:highlight w:val="none"/>
          <w:lang w:val="en-US" w:eastAsia="zh-CN"/>
        </w:rPr>
        <w:t>当日，</w:t>
      </w:r>
      <w:r>
        <w:rPr>
          <w:rFonts w:hint="eastAsia" w:ascii="仿宋_GB2312" w:hAnsi="仿宋_GB2312" w:eastAsia="仿宋_GB2312" w:cs="仿宋_GB2312"/>
          <w:color w:val="auto"/>
          <w:kern w:val="0"/>
          <w:sz w:val="28"/>
          <w:szCs w:val="28"/>
          <w:highlight w:val="none"/>
        </w:rPr>
        <w:t>一次性向甲方缴纳</w:t>
      </w:r>
      <w:r>
        <w:rPr>
          <w:rFonts w:hint="eastAsia" w:ascii="仿宋_GB2312" w:hAnsi="仿宋_GB2312" w:eastAsia="仿宋_GB2312" w:cs="仿宋_GB2312"/>
          <w:color w:val="auto"/>
          <w:kern w:val="0"/>
          <w:sz w:val="28"/>
          <w:szCs w:val="28"/>
          <w:highlight w:val="none"/>
          <w:lang w:val="en-US" w:eastAsia="zh-CN"/>
        </w:rPr>
        <w:t>三个月租金</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rPr>
        <w:t>人民币</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rPr>
        <w:t>整作为履约保证金</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若在产权交易中心竞拍时已缴纳履约保证金，则无需重复缴纳</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strike w:val="0"/>
          <w:dstrike w:val="0"/>
          <w:color w:val="auto"/>
          <w:sz w:val="28"/>
          <w:szCs w:val="28"/>
          <w:highlight w:val="none"/>
        </w:rPr>
        <w:t>，甲方收到合同履约保证金出具收款收据给乙方作为结算凭据。</w:t>
      </w:r>
      <w:r>
        <w:rPr>
          <w:rFonts w:hint="eastAsia" w:ascii="仿宋_GB2312" w:hAnsi="仿宋_GB2312" w:eastAsia="仿宋_GB2312" w:cs="仿宋_GB2312"/>
          <w:color w:val="auto"/>
          <w:kern w:val="0"/>
          <w:sz w:val="28"/>
          <w:szCs w:val="28"/>
          <w:highlight w:val="none"/>
        </w:rPr>
        <w:t>待合同履行完毕或双方协商解除合同时，甲方将保证金返还乙方或充抵拖欠的租金及其它费用（保证金不计息）。</w:t>
      </w:r>
    </w:p>
    <w:p w14:paraId="25A962E7">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条 诚信约定</w:t>
      </w:r>
    </w:p>
    <w:p w14:paraId="1DFF35CC">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乙方承诺：按合同约定支付租金、水电等应当由乙方支付的费用。租赁期间，如乙方累计超过二次及以上逾期缴交租金与其它费用的，甲方有权取消乙方对下一个租赁期的优先租赁权资格且不构成违约或侵权。 </w:t>
      </w:r>
    </w:p>
    <w:p w14:paraId="7DFE6EB9">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条 房屋租赁期间有关费用</w:t>
      </w:r>
    </w:p>
    <w:p w14:paraId="68A9E950">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乙方按</w:t>
      </w:r>
      <w:r>
        <w:rPr>
          <w:rFonts w:hint="eastAsia" w:ascii="仿宋_GB2312" w:hAnsi="仿宋_GB2312" w:eastAsia="仿宋_GB2312" w:cs="仿宋_GB2312"/>
          <w:color w:val="auto"/>
          <w:sz w:val="28"/>
          <w:szCs w:val="28"/>
          <w:highlight w:val="none"/>
          <w:lang w:val="en-US" w:eastAsia="zh-CN"/>
        </w:rPr>
        <w:t>时</w:t>
      </w:r>
      <w:r>
        <w:rPr>
          <w:rFonts w:hint="eastAsia" w:ascii="仿宋_GB2312" w:hAnsi="仿宋_GB2312" w:eastAsia="仿宋_GB2312" w:cs="仿宋_GB2312"/>
          <w:color w:val="auto"/>
          <w:sz w:val="28"/>
          <w:szCs w:val="28"/>
          <w:highlight w:val="none"/>
        </w:rPr>
        <w:t>支付水电费，并由乙方承担延期付款的违约责任；</w:t>
      </w:r>
    </w:p>
    <w:p w14:paraId="74A8A276">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由甲方代缴水电费的，在收到缴费通知书后十日内未缴纳的，每逾期一日按欠缴金额的2 ‰计算违约金。</w:t>
      </w:r>
    </w:p>
    <w:p w14:paraId="02485453">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若发生政府职能部门征收本合同未约定但与该房屋相关的收费，均应由乙方承担。</w:t>
      </w:r>
      <w:r>
        <w:rPr>
          <w:rFonts w:hint="eastAsia" w:ascii="仿宋_GB2312" w:hAnsi="仿宋_GB2312" w:eastAsia="仿宋_GB2312" w:cs="仿宋_GB2312"/>
          <w:color w:val="auto"/>
          <w:kern w:val="0"/>
          <w:sz w:val="28"/>
          <w:szCs w:val="28"/>
          <w:highlight w:val="none"/>
        </w:rPr>
        <w:t>在租赁期内及乙方逾期返还期间，出租房屋使用中产生的所有费用由</w:t>
      </w:r>
      <w:r>
        <w:rPr>
          <w:rFonts w:hint="eastAsia" w:ascii="仿宋_GB2312" w:hAnsi="仿宋_GB2312" w:eastAsia="仿宋_GB2312" w:cs="仿宋_GB2312"/>
          <w:color w:val="auto"/>
          <w:kern w:val="0"/>
          <w:sz w:val="28"/>
          <w:szCs w:val="28"/>
          <w:highlight w:val="none"/>
          <w:lang w:val="en-US" w:eastAsia="zh-CN"/>
        </w:rPr>
        <w:t>乙方</w:t>
      </w:r>
      <w:r>
        <w:rPr>
          <w:rFonts w:hint="eastAsia" w:ascii="仿宋_GB2312" w:hAnsi="仿宋_GB2312" w:eastAsia="仿宋_GB2312" w:cs="仿宋_GB2312"/>
          <w:color w:val="auto"/>
          <w:kern w:val="0"/>
          <w:sz w:val="28"/>
          <w:szCs w:val="28"/>
          <w:highlight w:val="none"/>
        </w:rPr>
        <w:t>自理。</w:t>
      </w:r>
      <w:r>
        <w:rPr>
          <w:rFonts w:hint="eastAsia" w:ascii="仿宋_GB2312" w:hAnsi="仿宋_GB2312" w:eastAsia="仿宋_GB2312" w:cs="仿宋_GB2312"/>
          <w:color w:val="auto"/>
          <w:sz w:val="28"/>
          <w:szCs w:val="28"/>
          <w:highlight w:val="none"/>
        </w:rPr>
        <w:t>乙方通过甲方总水电表所产生的水电费，按乙方使用数加总表与分表的实际损耗分摊数计费，甲方出具收款收据作为结算凭据。</w:t>
      </w:r>
    </w:p>
    <w:p w14:paraId="42E9F1B9">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条 甲方对房屋</w:t>
      </w:r>
      <w:r>
        <w:rPr>
          <w:rFonts w:hint="eastAsia" w:ascii="仿宋_GB2312" w:hAnsi="仿宋_GB2312" w:eastAsia="仿宋_GB2312" w:cs="仿宋_GB2312"/>
          <w:strike w:val="0"/>
          <w:dstrike w:val="0"/>
          <w:color w:val="auto"/>
          <w:sz w:val="28"/>
          <w:szCs w:val="28"/>
          <w:highlight w:val="none"/>
          <w:lang w:val="en-US" w:eastAsia="zh-CN"/>
        </w:rPr>
        <w:t>使用权</w:t>
      </w:r>
      <w:r>
        <w:rPr>
          <w:rFonts w:hint="eastAsia" w:ascii="仿宋_GB2312" w:hAnsi="仿宋_GB2312" w:eastAsia="仿宋_GB2312" w:cs="仿宋_GB2312"/>
          <w:color w:val="auto"/>
          <w:sz w:val="28"/>
          <w:szCs w:val="28"/>
          <w:highlight w:val="none"/>
        </w:rPr>
        <w:t>的承诺</w:t>
      </w:r>
    </w:p>
    <w:p w14:paraId="00B6D1A6">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甲方保证该房屋</w:t>
      </w:r>
      <w:r>
        <w:rPr>
          <w:rFonts w:hint="eastAsia" w:ascii="仿宋_GB2312" w:hAnsi="仿宋_GB2312" w:eastAsia="仿宋_GB2312" w:cs="仿宋_GB2312"/>
          <w:strike w:val="0"/>
          <w:dstrike w:val="0"/>
          <w:color w:val="auto"/>
          <w:sz w:val="28"/>
          <w:szCs w:val="28"/>
          <w:highlight w:val="none"/>
          <w:lang w:val="en-US" w:eastAsia="zh-CN"/>
        </w:rPr>
        <w:t>使用权明晰。</w:t>
      </w:r>
    </w:p>
    <w:p w14:paraId="62397D7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第十</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条 建设与维修</w:t>
      </w:r>
    </w:p>
    <w:p w14:paraId="5544F69F">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（一）若因乙方经营需要而对</w:t>
      </w:r>
      <w:r>
        <w:rPr>
          <w:rFonts w:hint="eastAsia" w:ascii="仿宋_GB2312" w:hAnsi="仿宋_GB2312" w:eastAsia="仿宋_GB2312" w:cs="仿宋_GB2312"/>
          <w:color w:val="auto"/>
          <w:sz w:val="28"/>
          <w:szCs w:val="28"/>
          <w:highlight w:val="none"/>
          <w:lang w:val="en-US" w:eastAsia="zh-CN"/>
        </w:rPr>
        <w:t>租赁房屋</w:t>
      </w:r>
      <w:r>
        <w:rPr>
          <w:rFonts w:hint="eastAsia" w:ascii="仿宋_GB2312" w:hAnsi="仿宋_GB2312" w:eastAsia="仿宋_GB2312" w:cs="仿宋_GB2312"/>
          <w:color w:val="auto"/>
          <w:sz w:val="28"/>
          <w:szCs w:val="28"/>
          <w:highlight w:val="none"/>
        </w:rPr>
        <w:t>内部消防系统进行的局部改造费用由乙方承担，改造方案须由乙方报政府相关部门进行审核批准后方能实施，消防系统改造完成后乙方应报请政府相关部门审核验收合格</w:t>
      </w:r>
      <w:r>
        <w:rPr>
          <w:rFonts w:hint="eastAsia" w:ascii="仿宋_GB2312" w:hAnsi="仿宋_GB2312" w:eastAsia="仿宋_GB2312" w:cs="仿宋_GB2312"/>
          <w:color w:val="auto"/>
          <w:sz w:val="28"/>
          <w:szCs w:val="28"/>
          <w:highlight w:val="none"/>
          <w:lang w:eastAsia="zh-CN"/>
        </w:rPr>
        <w:t>；</w:t>
      </w:r>
    </w:p>
    <w:p w14:paraId="3091515C">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租赁期间租赁房屋的一切维护、维修义务（含消防设施与消防配备）由乙方承担，乙方拒绝维护、维修的，所造成的损害后果由乙方承担；</w:t>
      </w:r>
    </w:p>
    <w:p w14:paraId="3657C841">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）乙方如需对租赁房屋进行改造装修，实施方案须事先征得甲方书面同意后方可组织施工，费用由乙方自理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u w:val="none"/>
        </w:rPr>
        <w:t>如</w:t>
      </w:r>
      <w:r>
        <w:rPr>
          <w:rFonts w:hint="eastAsia" w:ascii="仿宋_GB2312" w:hAnsi="仿宋_GB2312" w:eastAsia="仿宋_GB2312" w:cs="仿宋_GB2312"/>
          <w:b w:val="0"/>
          <w:color w:val="auto"/>
          <w:kern w:val="0"/>
          <w:sz w:val="28"/>
          <w:szCs w:val="28"/>
          <w:highlight w:val="none"/>
          <w:u w:val="none"/>
        </w:rPr>
        <w:t>擅自改动或破坏房屋结构，</w:t>
      </w:r>
      <w:r>
        <w:rPr>
          <w:rFonts w:hint="eastAsia" w:ascii="仿宋_GB2312" w:hAnsi="仿宋_GB2312" w:eastAsia="仿宋_GB2312" w:cs="仿宋_GB2312"/>
          <w:b w:val="0"/>
          <w:color w:val="auto"/>
          <w:kern w:val="0"/>
          <w:sz w:val="28"/>
          <w:szCs w:val="28"/>
          <w:highlight w:val="none"/>
          <w:u w:val="none"/>
          <w:lang w:val="en-US" w:eastAsia="zh-CN"/>
        </w:rPr>
        <w:t>乙方</w:t>
      </w:r>
      <w:r>
        <w:rPr>
          <w:rFonts w:hint="eastAsia" w:ascii="仿宋_GB2312" w:hAnsi="仿宋_GB2312" w:eastAsia="仿宋_GB2312" w:cs="仿宋_GB2312"/>
          <w:b w:val="0"/>
          <w:color w:val="auto"/>
          <w:kern w:val="0"/>
          <w:sz w:val="28"/>
          <w:szCs w:val="28"/>
          <w:highlight w:val="none"/>
          <w:u w:val="none"/>
        </w:rPr>
        <w:t>应立即恢复原状，造成的损失由</w:t>
      </w:r>
      <w:r>
        <w:rPr>
          <w:rFonts w:hint="eastAsia" w:ascii="仿宋_GB2312" w:hAnsi="仿宋_GB2312" w:eastAsia="仿宋_GB2312" w:cs="仿宋_GB2312"/>
          <w:b w:val="0"/>
          <w:color w:val="auto"/>
          <w:kern w:val="0"/>
          <w:sz w:val="28"/>
          <w:szCs w:val="28"/>
          <w:highlight w:val="none"/>
          <w:u w:val="none"/>
          <w:lang w:val="en-US" w:eastAsia="zh-CN"/>
        </w:rPr>
        <w:t>乙方</w:t>
      </w:r>
      <w:r>
        <w:rPr>
          <w:rFonts w:hint="eastAsia" w:ascii="仿宋_GB2312" w:hAnsi="仿宋_GB2312" w:eastAsia="仿宋_GB2312" w:cs="仿宋_GB2312"/>
          <w:b w:val="0"/>
          <w:color w:val="auto"/>
          <w:kern w:val="0"/>
          <w:sz w:val="28"/>
          <w:szCs w:val="28"/>
          <w:highlight w:val="none"/>
          <w:u w:val="none"/>
        </w:rPr>
        <w:t>承担赔偿责任。</w:t>
      </w:r>
      <w:r>
        <w:rPr>
          <w:rFonts w:hint="eastAsia" w:ascii="仿宋_GB2312" w:hAnsi="仿宋_GB2312" w:eastAsia="仿宋_GB2312" w:cs="仿宋_GB2312"/>
          <w:color w:val="auto"/>
          <w:sz w:val="28"/>
          <w:szCs w:val="28"/>
          <w:highlight w:val="none"/>
        </w:rPr>
        <w:t>租赁期满或合同解除时，依附于该房屋的固定添附物无偿移交甲方，不得破坏性拆除；</w:t>
      </w:r>
    </w:p>
    <w:p w14:paraId="5A21070B">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）租赁合同期满</w:t>
      </w:r>
      <w:r>
        <w:rPr>
          <w:rFonts w:hint="eastAsia" w:ascii="仿宋_GB2312" w:hAnsi="仿宋_GB2312" w:eastAsia="仿宋_GB2312" w:cs="仿宋_GB2312"/>
          <w:color w:val="auto"/>
          <w:sz w:val="28"/>
          <w:szCs w:val="28"/>
          <w:highlight w:val="none"/>
          <w:lang w:val="en-US" w:eastAsia="zh-CN"/>
        </w:rPr>
        <w:t>或合同解除后，</w:t>
      </w:r>
      <w:r>
        <w:rPr>
          <w:rFonts w:hint="eastAsia" w:ascii="仿宋_GB2312" w:hAnsi="仿宋_GB2312" w:eastAsia="仿宋_GB2312" w:cs="仿宋_GB2312"/>
          <w:color w:val="auto"/>
          <w:sz w:val="28"/>
          <w:szCs w:val="28"/>
          <w:highlight w:val="none"/>
        </w:rPr>
        <w:t>乙方应</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color w:val="auto"/>
          <w:sz w:val="28"/>
          <w:szCs w:val="28"/>
          <w:highlight w:val="none"/>
          <w:lang w:val="en-US" w:eastAsia="zh-CN"/>
        </w:rPr>
        <w:t>十个工作日内</w:t>
      </w:r>
      <w:r>
        <w:rPr>
          <w:rFonts w:hint="eastAsia" w:ascii="仿宋_GB2312" w:hAnsi="仿宋_GB2312" w:eastAsia="仿宋_GB2312" w:cs="仿宋_GB2312"/>
          <w:color w:val="auto"/>
          <w:sz w:val="28"/>
          <w:szCs w:val="28"/>
          <w:highlight w:val="none"/>
        </w:rPr>
        <w:t>将租赁房屋清理整洁退还甲方</w:t>
      </w:r>
      <w:r>
        <w:rPr>
          <w:rFonts w:hint="eastAsia" w:ascii="仿宋_GB2312" w:hAnsi="仿宋_GB2312" w:eastAsia="仿宋_GB2312" w:cs="仿宋_GB2312"/>
          <w:color w:val="auto"/>
          <w:sz w:val="28"/>
          <w:szCs w:val="28"/>
          <w:highlight w:val="none"/>
          <w:lang w:val="en-US" w:eastAsia="zh-CN"/>
        </w:rPr>
        <w:t>，并保证租赁房屋内设施完好交由甲方验收</w:t>
      </w:r>
      <w:r>
        <w:rPr>
          <w:rFonts w:hint="eastAsia" w:ascii="仿宋_GB2312" w:hAnsi="仿宋_GB2312" w:eastAsia="仿宋_GB2312" w:cs="仿宋_GB2312"/>
          <w:color w:val="auto"/>
          <w:sz w:val="28"/>
          <w:szCs w:val="28"/>
          <w:highlight w:val="none"/>
        </w:rPr>
        <w:t>。若</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未清理整洁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由甲方组织清理整洁的，清理整洁费用从合同履约保证金中扣除。</w:t>
      </w:r>
    </w:p>
    <w:p w14:paraId="36E402C7">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条 管护责任</w:t>
      </w:r>
    </w:p>
    <w:p w14:paraId="1A074098">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（一）租赁期间，甲方可对涉及房屋整体及其附着设施进行监督检查与必要管护，乙方应予协助配合，不得阻挠。</w:t>
      </w:r>
    </w:p>
    <w:p w14:paraId="0259ED91">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（二）租赁期间，由乙方承担租赁资产的消防、门前三包（包卫生、包绿化、包秩序），环保及综合治理，并执行当地有关部门规定。</w:t>
      </w:r>
      <w:r>
        <w:rPr>
          <w:rFonts w:hint="eastAsia" w:ascii="仿宋_GB2312" w:hAnsi="仿宋_GB2312" w:eastAsia="仿宋_GB2312" w:cs="仿宋_GB2312"/>
          <w:color w:val="auto"/>
          <w:sz w:val="28"/>
          <w:szCs w:val="28"/>
          <w:highlight w:val="none"/>
          <w:lang w:val="en-US" w:eastAsia="zh-CN"/>
        </w:rPr>
        <w:t xml:space="preserve">  </w:t>
      </w:r>
    </w:p>
    <w:p w14:paraId="5A0EF9C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kern w:val="0"/>
          <w:sz w:val="28"/>
          <w:szCs w:val="28"/>
          <w:highlight w:val="none"/>
          <w:u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highlight w:val="none"/>
          <w:u w:val="none"/>
        </w:rPr>
        <w:t>在租赁期内及乙方逾期返还期间，租赁房屋及附属设施设备范围内的消防安全、</w:t>
      </w:r>
      <w:r>
        <w:rPr>
          <w:rFonts w:hint="eastAsia" w:ascii="仿宋_GB2312" w:hAnsi="仿宋_GB2312" w:eastAsia="仿宋_GB2312" w:cs="仿宋_GB2312"/>
          <w:color w:val="auto"/>
          <w:kern w:val="0"/>
          <w:sz w:val="28"/>
          <w:szCs w:val="28"/>
          <w:highlight w:val="none"/>
          <w:u w:val="none"/>
          <w:lang w:val="en-US" w:eastAsia="zh-CN"/>
        </w:rPr>
        <w:t>治安及</w:t>
      </w:r>
      <w:r>
        <w:rPr>
          <w:rFonts w:hint="eastAsia" w:ascii="仿宋_GB2312" w:hAnsi="仿宋_GB2312" w:eastAsia="仿宋_GB2312" w:cs="仿宋_GB2312"/>
          <w:color w:val="auto"/>
          <w:kern w:val="0"/>
          <w:sz w:val="28"/>
          <w:szCs w:val="28"/>
          <w:highlight w:val="none"/>
          <w:u w:val="none"/>
        </w:rPr>
        <w:t>防盗等工作由乙方负责</w:t>
      </w:r>
      <w:r>
        <w:rPr>
          <w:rFonts w:hint="eastAsia" w:ascii="仿宋_GB2312" w:hAnsi="仿宋_GB2312" w:eastAsia="仿宋_GB2312" w:cs="仿宋_GB2312"/>
          <w:color w:val="auto"/>
          <w:kern w:val="0"/>
          <w:sz w:val="28"/>
          <w:szCs w:val="28"/>
          <w:highlight w:val="none"/>
          <w:u w:val="none"/>
          <w:lang w:eastAsia="zh-CN"/>
        </w:rPr>
        <w:t>。</w:t>
      </w:r>
      <w:r>
        <w:rPr>
          <w:rFonts w:hint="eastAsia" w:ascii="仿宋_GB2312" w:hAnsi="仿宋_GB2312" w:eastAsia="仿宋_GB2312" w:cs="仿宋_GB2312"/>
          <w:color w:val="auto"/>
          <w:kern w:val="0"/>
          <w:sz w:val="28"/>
          <w:szCs w:val="28"/>
          <w:highlight w:val="none"/>
          <w:u w:val="none"/>
        </w:rPr>
        <w:t>同时乙方在租赁期间内的人身和财产安全均由乙方自行负责，在租赁期间内乙方是该房屋的实际管理人，该房屋内发生的所有安全事故都由乙方来承担与甲方无关，包括但不限于高空抛物、水电、天然气的使用不当、在房间内摔倒，给乙方和同住人造成的人</w:t>
      </w:r>
      <w:r>
        <w:rPr>
          <w:rFonts w:hint="eastAsia" w:ascii="仿宋_GB2312" w:hAnsi="仿宋_GB2312" w:eastAsia="仿宋_GB2312" w:cs="仿宋_GB2312"/>
          <w:color w:val="auto"/>
          <w:kern w:val="0"/>
          <w:sz w:val="28"/>
          <w:szCs w:val="28"/>
          <w:highlight w:val="none"/>
          <w:u w:val="none"/>
          <w:lang w:val="en-US" w:eastAsia="zh-CN"/>
        </w:rPr>
        <w:t>身</w:t>
      </w:r>
      <w:r>
        <w:rPr>
          <w:rFonts w:hint="eastAsia" w:ascii="仿宋_GB2312" w:hAnsi="仿宋_GB2312" w:eastAsia="仿宋_GB2312" w:cs="仿宋_GB2312"/>
          <w:color w:val="auto"/>
          <w:kern w:val="0"/>
          <w:sz w:val="28"/>
          <w:szCs w:val="28"/>
          <w:highlight w:val="none"/>
          <w:u w:val="none"/>
        </w:rPr>
        <w:t>伤害，甲方都不承担任何责任</w:t>
      </w:r>
      <w:r>
        <w:rPr>
          <w:rFonts w:hint="eastAsia" w:ascii="仿宋_GB2312" w:hAnsi="仿宋_GB2312" w:eastAsia="仿宋_GB2312" w:cs="仿宋_GB2312"/>
          <w:color w:val="auto"/>
          <w:kern w:val="0"/>
          <w:sz w:val="28"/>
          <w:szCs w:val="28"/>
          <w:highlight w:val="none"/>
          <w:u w:val="none"/>
          <w:lang w:eastAsia="zh-CN"/>
        </w:rPr>
        <w:t>。</w:t>
      </w:r>
    </w:p>
    <w:p w14:paraId="0A627A38">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第十</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条 违约责任</w:t>
      </w:r>
    </w:p>
    <w:p w14:paraId="1F156F6B">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甲方的违约责任</w:t>
      </w:r>
    </w:p>
    <w:p w14:paraId="3D022C72">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若甲方自合同签订之日起超过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30</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日未向乙方交付房屋的，甲方除应向乙方返还合同履约保证金外，还应向乙方支付与一个月租金同等金额的违约金，本合同自行解除。</w:t>
      </w:r>
    </w:p>
    <w:p w14:paraId="49FEA12E">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乙方的违约责任</w:t>
      </w:r>
    </w:p>
    <w:p w14:paraId="71DE0D73">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对于乙方按本合同应付甲方的任何违约金或损失赔偿金，甲方有权在保证金中直接扣除。甲方也有权冻结保证金，直至乙方按本合同应付甲方或第三方的违约金及/或损失赔偿金最终得到确定并从保证金中扣除。</w:t>
      </w:r>
    </w:p>
    <w:p w14:paraId="6D925F85">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）乙方未按约定按时足额缴交房屋租金，需支付违约金，每延误一日应按欠付款项1‰的标准向甲方支付违约金。</w:t>
      </w:r>
    </w:p>
    <w:p w14:paraId="138E520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）租赁期满或合同终止后，乙方应在合同期满或终止之日退出租赁房屋交由甲方验收。若乙方逾期退出，甲方除有权没收乙方缴交的合同履约保证金外，乙方还应向甲方</w:t>
      </w:r>
      <w:r>
        <w:rPr>
          <w:rFonts w:hint="eastAsia" w:ascii="仿宋_GB2312" w:hAnsi="仿宋_GB2312" w:eastAsia="仿宋_GB2312" w:cs="仿宋_GB2312"/>
          <w:color w:val="auto"/>
          <w:sz w:val="28"/>
          <w:szCs w:val="28"/>
          <w:highlight w:val="none"/>
          <w:lang w:val="en-US" w:eastAsia="zh-CN"/>
        </w:rPr>
        <w:t>按租金标准</w:t>
      </w:r>
      <w:r>
        <w:rPr>
          <w:rFonts w:hint="eastAsia" w:ascii="仿宋_GB2312" w:hAnsi="仿宋_GB2312" w:eastAsia="仿宋_GB2312" w:cs="仿宋_GB2312"/>
          <w:color w:val="auto"/>
          <w:sz w:val="28"/>
          <w:szCs w:val="28"/>
          <w:highlight w:val="none"/>
        </w:rPr>
        <w:t>支付场地占用费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还需支付违约金，每延误一日应按欠付款项1‰计算，</w:t>
      </w:r>
      <w:r>
        <w:rPr>
          <w:rFonts w:hint="eastAsia" w:ascii="仿宋_GB2312" w:hAnsi="仿宋_GB2312" w:eastAsia="仿宋_GB2312" w:cs="仿宋_GB2312"/>
          <w:color w:val="auto"/>
          <w:sz w:val="28"/>
          <w:szCs w:val="28"/>
          <w:highlight w:val="none"/>
        </w:rPr>
        <w:t>至实际将房屋返还甲方之日止。逾期退出超过15日的，甲方有权采取必要措施予以清退收回，</w:t>
      </w:r>
      <w:r>
        <w:rPr>
          <w:rFonts w:hint="eastAsia" w:ascii="仿宋_GB2312" w:hAnsi="仿宋_GB2312" w:eastAsia="仿宋_GB2312" w:cs="仿宋_GB2312"/>
          <w:color w:val="auto"/>
          <w:sz w:val="28"/>
          <w:szCs w:val="28"/>
          <w:highlight w:val="none"/>
          <w:lang w:val="en-US" w:eastAsia="zh-CN"/>
        </w:rPr>
        <w:t>清退过程中产生的一切费用由乙方承担，</w:t>
      </w:r>
      <w:r>
        <w:rPr>
          <w:rFonts w:hint="eastAsia" w:ascii="仿宋_GB2312" w:hAnsi="仿宋_GB2312" w:eastAsia="仿宋_GB2312" w:cs="仿宋_GB2312"/>
          <w:color w:val="auto"/>
          <w:sz w:val="28"/>
          <w:szCs w:val="28"/>
          <w:highlight w:val="none"/>
        </w:rPr>
        <w:t>乙方留在该房屋内的物品视为乙方</w:t>
      </w:r>
      <w:r>
        <w:rPr>
          <w:rFonts w:hint="eastAsia" w:ascii="仿宋_GB2312" w:hAnsi="仿宋_GB2312" w:eastAsia="仿宋_GB2312" w:cs="仿宋_GB2312"/>
          <w:color w:val="auto"/>
          <w:sz w:val="28"/>
          <w:szCs w:val="28"/>
          <w:highlight w:val="none"/>
          <w:lang w:eastAsia="zh-CN"/>
        </w:rPr>
        <w:t>遗</w:t>
      </w:r>
      <w:r>
        <w:rPr>
          <w:rFonts w:hint="eastAsia" w:ascii="仿宋_GB2312" w:hAnsi="仿宋_GB2312" w:eastAsia="仿宋_GB2312" w:cs="仿宋_GB2312"/>
          <w:color w:val="auto"/>
          <w:sz w:val="28"/>
          <w:szCs w:val="28"/>
          <w:highlight w:val="none"/>
        </w:rPr>
        <w:t>弃物，甲方可按废弃物处置。</w:t>
      </w:r>
    </w:p>
    <w:p w14:paraId="2DE8A41B">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第十</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条</w:t>
      </w:r>
      <w:r>
        <w:rPr>
          <w:rFonts w:hint="eastAsia" w:ascii="仿宋_GB2312" w:hAnsi="仿宋_GB2312" w:eastAsia="仿宋_GB2312" w:cs="仿宋_GB2312"/>
          <w:color w:val="auto"/>
          <w:sz w:val="28"/>
          <w:szCs w:val="28"/>
          <w:highlight w:val="none"/>
          <w:lang w:val="en-US" w:eastAsia="zh-CN"/>
        </w:rPr>
        <w:t xml:space="preserve"> 合同续签</w:t>
      </w:r>
    </w:p>
    <w:p w14:paraId="38D375BB">
      <w:pPr>
        <w:keepNext w:val="0"/>
        <w:keepLines w:val="0"/>
        <w:pageBreakBefore w:val="0"/>
        <w:kinsoku/>
        <w:overflowPunct/>
        <w:topLinePunct w:val="0"/>
        <w:autoSpaceDE/>
        <w:autoSpaceDN/>
        <w:bidi w:val="0"/>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合同期满后若乙方有续租的意愿，在合同期满前</w:t>
      </w: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个月向甲方提出书面申请，经甲方同意，可续签</w:t>
      </w:r>
      <w:r>
        <w:rPr>
          <w:rFonts w:hint="eastAsia" w:ascii="仿宋_GB2312" w:hAnsi="仿宋_GB2312" w:eastAsia="仿宋_GB2312" w:cs="仿宋_GB2312"/>
          <w:color w:val="auto"/>
          <w:sz w:val="28"/>
          <w:szCs w:val="28"/>
          <w:highlight w:val="none"/>
          <w:lang w:val="en-US" w:eastAsia="zh-CN"/>
        </w:rPr>
        <w:t>一次</w:t>
      </w:r>
      <w:r>
        <w:rPr>
          <w:rFonts w:hint="default" w:ascii="仿宋_GB2312" w:hAnsi="仿宋_GB2312" w:eastAsia="仿宋_GB2312" w:cs="仿宋_GB2312"/>
          <w:color w:val="auto"/>
          <w:sz w:val="28"/>
          <w:szCs w:val="28"/>
          <w:highlight w:val="none"/>
          <w:lang w:val="en-US" w:eastAsia="zh-CN"/>
        </w:rPr>
        <w:t>。最长租赁期限不超过</w:t>
      </w:r>
      <w:r>
        <w:rPr>
          <w:rFonts w:hint="default" w:ascii="仿宋_GB2312" w:hAnsi="仿宋_GB2312" w:eastAsia="仿宋_GB2312" w:cs="仿宋_GB2312"/>
          <w:color w:val="auto"/>
          <w:sz w:val="28"/>
          <w:szCs w:val="28"/>
          <w:highlight w:val="none"/>
          <w:u w:val="single"/>
          <w:lang w:val="en-US" w:eastAsia="zh-CN"/>
        </w:rPr>
        <w:t>五</w:t>
      </w:r>
      <w:r>
        <w:rPr>
          <w:rFonts w:hint="default" w:ascii="仿宋_GB2312" w:hAnsi="仿宋_GB2312" w:eastAsia="仿宋_GB2312" w:cs="仿宋_GB2312"/>
          <w:color w:val="auto"/>
          <w:sz w:val="28"/>
          <w:szCs w:val="28"/>
          <w:highlight w:val="none"/>
          <w:lang w:val="en-US" w:eastAsia="zh-CN"/>
        </w:rPr>
        <w:t>年，另行签订续租合同。</w:t>
      </w:r>
    </w:p>
    <w:p w14:paraId="2CAED01C">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第十</w:t>
      </w: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条 合同终止</w:t>
      </w:r>
    </w:p>
    <w:p w14:paraId="475321A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租赁期间，乙方单方提前解除合同的，应提前2个月书面通知甲方，经甲方同意，合同实际履行未超过6个月的，甲方不予返还合同履约保证金；合同实际履行已超过6个月（不含）的，乙方向甲方支付1个月租金损失（按解除当年约定的月租金计算）并结清承租期间应承担的各项费用后，甲方无息返还乙方合同履约保证金。</w:t>
      </w:r>
    </w:p>
    <w:p w14:paraId="6A4CA048">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租赁期间，甲方单方提前解除合同的，应提前</w:t>
      </w:r>
      <w:r>
        <w:rPr>
          <w:rFonts w:hint="eastAsia" w:ascii="仿宋_GB2312" w:hAnsi="仿宋_GB2312" w:eastAsia="仿宋_GB2312" w:cs="仿宋_GB2312"/>
          <w:color w:val="auto"/>
          <w:sz w:val="28"/>
          <w:szCs w:val="28"/>
          <w:highlight w:val="none"/>
          <w:lang w:val="en-US" w:eastAsia="zh-CN"/>
        </w:rPr>
        <w:t>1个月</w:t>
      </w:r>
      <w:r>
        <w:rPr>
          <w:rFonts w:hint="eastAsia" w:ascii="仿宋_GB2312" w:hAnsi="仿宋_GB2312" w:eastAsia="仿宋_GB2312" w:cs="仿宋_GB2312"/>
          <w:color w:val="auto"/>
          <w:sz w:val="28"/>
          <w:szCs w:val="28"/>
          <w:highlight w:val="none"/>
        </w:rPr>
        <w:t>书面通知乙方，甲方应无息退还乙方已付的履约保证金。</w:t>
      </w:r>
    </w:p>
    <w:p w14:paraId="587CCF55">
      <w:pPr>
        <w:keepNext w:val="0"/>
        <w:keepLines w:val="0"/>
        <w:pageBreakBefore w:val="0"/>
        <w:numPr>
          <w:ilvl w:val="0"/>
          <w:numId w:val="0"/>
        </w:numPr>
        <w:kinsoku/>
        <w:overflowPunct/>
        <w:topLinePunct w:val="0"/>
        <w:autoSpaceDE/>
        <w:autoSpaceDN/>
        <w:bidi w:val="0"/>
        <w:spacing w:line="240" w:lineRule="auto"/>
        <w:ind w:firstLine="560" w:firstLineChars="200"/>
        <w:rPr>
          <w:rFonts w:hint="eastAsia"/>
          <w:lang w:val="en-US" w:eastAsia="zh-CN"/>
        </w:rPr>
      </w:pPr>
      <w:r>
        <w:rPr>
          <w:rFonts w:hint="eastAsia" w:ascii="仿宋_GB2312" w:hAnsi="仿宋_GB2312" w:eastAsia="仿宋_GB2312" w:cs="仿宋_GB2312"/>
          <w:color w:val="auto"/>
          <w:kern w:val="2"/>
          <w:sz w:val="28"/>
          <w:szCs w:val="28"/>
          <w:lang w:val="en-US" w:eastAsia="zh-CN" w:bidi="ar-SA"/>
        </w:rPr>
        <w:t>（二）</w:t>
      </w:r>
      <w:r>
        <w:rPr>
          <w:rFonts w:hint="eastAsia" w:ascii="仿宋_GB2312" w:hAnsi="仿宋_GB2312" w:eastAsia="仿宋_GB2312" w:cs="仿宋_GB2312"/>
          <w:color w:val="auto"/>
          <w:sz w:val="28"/>
          <w:szCs w:val="28"/>
          <w:highlight w:val="none"/>
        </w:rPr>
        <w:t>因国家政策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地震、台风、战争等不可抗力导致本合同不能全部或部分履行的，双方均不承担违约责任，致使本合同无法履行的，均可以依法依约解除本合同。乙方在遇有上述不可抗力时，在接到书面通知之日起30日内无条件退出，租金按照实际使用时间计算，不足整月的按实际使用的天数计算。</w:t>
      </w:r>
    </w:p>
    <w:p w14:paraId="3D631D1C">
      <w:pPr>
        <w:keepNext w:val="0"/>
        <w:keepLines w:val="0"/>
        <w:pageBreakBefore w:val="0"/>
        <w:numPr>
          <w:ilvl w:val="0"/>
          <w:numId w:val="0"/>
        </w:numPr>
        <w:kinsoku/>
        <w:overflowPunct/>
        <w:topLinePunct w:val="0"/>
        <w:autoSpaceDE/>
        <w:autoSpaceDN/>
        <w:bidi w:val="0"/>
        <w:spacing w:line="24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（三）政府征用或征收</w:t>
      </w:r>
    </w:p>
    <w:p w14:paraId="2AB5A0C0">
      <w:pPr>
        <w:keepNext w:val="0"/>
        <w:keepLines w:val="0"/>
        <w:pageBreakBefore w:val="0"/>
        <w:numPr>
          <w:ilvl w:val="0"/>
          <w:numId w:val="0"/>
        </w:numPr>
        <w:kinsoku/>
        <w:overflowPunct/>
        <w:topLinePunct w:val="0"/>
        <w:autoSpaceDE/>
        <w:autoSpaceDN/>
        <w:bidi w:val="0"/>
        <w:spacing w:line="24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本合同项下租赁物业被政府征用或征收，自政府发布征收公告或实际控制房屋之日起，本合同提前终止。甲方在合同终止后15个工作日内，向乙方无息返还其已缴纳的未使用期间租金及全部租赁押金。</w:t>
      </w:r>
    </w:p>
    <w:p w14:paraId="1E807807">
      <w:pPr>
        <w:keepNext w:val="0"/>
        <w:keepLines w:val="0"/>
        <w:pageBreakBefore w:val="0"/>
        <w:numPr>
          <w:ilvl w:val="0"/>
          <w:numId w:val="0"/>
        </w:numPr>
        <w:kinsoku/>
        <w:overflowPunct/>
        <w:topLinePunct w:val="0"/>
        <w:autoSpaceDE/>
        <w:autoSpaceDN/>
        <w:bidi w:val="0"/>
        <w:spacing w:line="24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如租赁物业被政府征用或征收，乙方在接到甲方通知之日起7日内腾空物品并将房屋返还给甲方，否则甲方有权自行腾空或委托第三方腾空，因此产生的费用由乙方承担。</w:t>
      </w:r>
    </w:p>
    <w:p w14:paraId="3B60FE26">
      <w:pPr>
        <w:keepNext w:val="0"/>
        <w:keepLines w:val="0"/>
        <w:pageBreakBefore w:val="0"/>
        <w:numPr>
          <w:ilvl w:val="0"/>
          <w:numId w:val="0"/>
        </w:numPr>
        <w:kinsoku/>
        <w:overflowPunct/>
        <w:topLinePunct w:val="0"/>
        <w:autoSpaceDE/>
        <w:autoSpaceDN/>
        <w:bidi w:val="0"/>
        <w:spacing w:line="240" w:lineRule="auto"/>
        <w:ind w:firstLine="560" w:firstLineChars="200"/>
        <w:rPr>
          <w:rFonts w:hint="default"/>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政府支付的拆迁补偿等费用归甲方所有，乙方不得要求分割或参与分配。除本合同约定返还的租金、押金外，乙方明确同意并确认，其将不会就本次征迁事宜向甲方主张任何其他形式的补偿、赔偿或损失。</w:t>
      </w:r>
    </w:p>
    <w:p w14:paraId="34C4D540">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甲方有权在发生下列情形之一的任何时间终止本合同，提前收回房屋，没收乙方合同履约保证金，并继续追讨乙方应付而未付甲方的全部损失（包括但不限于场地占用费、为维权而支出的律师服务费、案件受理费、调查取证费等），至甲方实际收回该房屋之日止：</w:t>
      </w:r>
    </w:p>
    <w:p w14:paraId="688FFDF5">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1．改变本合同规定的房屋用途或有危及该房屋安全的行为，经甲方催告后在规定时间内仍未整改到位的；</w:t>
      </w:r>
    </w:p>
    <w:p w14:paraId="0EB594D5">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2.未征得甲方书面同意擅自组织装修、修缮或由于使用不当危及该房屋安全，致使该房屋结构性损坏的；</w:t>
      </w:r>
    </w:p>
    <w:p w14:paraId="29E538F1">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3.未经甲方书面同意自行转租、转让或交换该房屋承租权的；</w:t>
      </w:r>
    </w:p>
    <w:p w14:paraId="516BC95E">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4.乙方不履行或不全面履行租赁合同，拖欠租金、水电等及其它应由乙方支付费用，经甲方采取暂停提供水、电，追加合同履约保证金等措施，尚不足以保护国有资产权益的；</w:t>
      </w:r>
    </w:p>
    <w:p w14:paraId="4FAE29FE">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5.在租赁房屋内从事法律所禁止的行为或活动的；</w:t>
      </w:r>
    </w:p>
    <w:p w14:paraId="2D0EF1F2">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6.偷水、偷电，私自拆装水电表等违背公序良俗行为的</w:t>
      </w:r>
      <w:r>
        <w:rPr>
          <w:rFonts w:hint="eastAsia" w:ascii="仿宋_GB2312" w:hAnsi="仿宋_GB2312" w:eastAsia="仿宋_GB2312" w:cs="仿宋_GB2312"/>
          <w:color w:val="auto"/>
          <w:sz w:val="28"/>
          <w:szCs w:val="28"/>
          <w:highlight w:val="none"/>
          <w:lang w:eastAsia="zh-CN"/>
        </w:rPr>
        <w:t>；</w:t>
      </w:r>
    </w:p>
    <w:p w14:paraId="00164159">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不支付或者不按照约定支付租金超过60日的</w:t>
      </w:r>
      <w:r>
        <w:rPr>
          <w:rFonts w:hint="eastAsia" w:ascii="仿宋_GB2312" w:hAnsi="仿宋_GB2312" w:eastAsia="仿宋_GB2312" w:cs="仿宋_GB2312"/>
          <w:color w:val="auto"/>
          <w:sz w:val="28"/>
          <w:szCs w:val="28"/>
          <w:highlight w:val="none"/>
          <w:lang w:eastAsia="zh-CN"/>
        </w:rPr>
        <w:t>；</w:t>
      </w:r>
    </w:p>
    <w:p w14:paraId="13DA03DA">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欠缴各项费用超过60日或欠缴各项费用达到二个月租金标准金额的</w:t>
      </w:r>
      <w:r>
        <w:rPr>
          <w:rFonts w:hint="eastAsia" w:ascii="仿宋_GB2312" w:hAnsi="仿宋_GB2312" w:eastAsia="仿宋_GB2312" w:cs="仿宋_GB2312"/>
          <w:color w:val="auto"/>
          <w:sz w:val="28"/>
          <w:szCs w:val="28"/>
          <w:highlight w:val="none"/>
          <w:lang w:eastAsia="zh-CN"/>
        </w:rPr>
        <w:t>；</w:t>
      </w:r>
    </w:p>
    <w:p w14:paraId="40A82146">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本合同约定的其他甲方有权单方面提前解除合同的情形</w:t>
      </w:r>
      <w:r>
        <w:rPr>
          <w:rFonts w:hint="eastAsia" w:ascii="仿宋_GB2312" w:hAnsi="仿宋_GB2312" w:eastAsia="仿宋_GB2312" w:cs="仿宋_GB2312"/>
          <w:color w:val="auto"/>
          <w:sz w:val="28"/>
          <w:szCs w:val="28"/>
          <w:highlight w:val="none"/>
          <w:lang w:eastAsia="zh-CN"/>
        </w:rPr>
        <w:t>。</w:t>
      </w:r>
    </w:p>
    <w:p w14:paraId="026E7F73">
      <w:pPr>
        <w:keepNext w:val="0"/>
        <w:keepLines w:val="0"/>
        <w:pageBreakBefore w:val="0"/>
        <w:kinsoku/>
        <w:overflowPunct/>
        <w:topLinePunct w:val="0"/>
        <w:autoSpaceDE/>
        <w:autoSpaceDN/>
        <w:bidi w:val="0"/>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（五）因乙方违约致使甲方采用民事诉讼方式解决纠纷的，乙方需承担甲方为此项事务支出的所有费用（包括但不限于律师代理费、差旅费、评估费、招标费、诉讼费、保全责任保险费等其它费用）。</w:t>
      </w:r>
    </w:p>
    <w:p w14:paraId="5AB6F026">
      <w:pPr>
        <w:keepNext w:val="0"/>
        <w:keepLines w:val="0"/>
        <w:pageBreakBefore w:val="0"/>
        <w:kinsoku/>
        <w:overflowPunct/>
        <w:topLinePunct w:val="0"/>
        <w:autoSpaceDE/>
        <w:autoSpaceDN/>
        <w:bidi w:val="0"/>
        <w:spacing w:line="240" w:lineRule="auto"/>
        <w:ind w:right="32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第十</w:t>
      </w: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条 黑名单制度</w:t>
      </w:r>
    </w:p>
    <w:p w14:paraId="0326AC94">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不履行合同或不诚信履行合同（恶意违约、恶意破坏租赁设施，或一年内累计两次不按时缴交房租，经甲方以书面、短信、微信、电话通知的），有违法违规行为或被列入惩戒、失信名单等的法人、社团组织与自然人，甲方有权对承租人的承租资格在企业职权范围进行限制且不构成侵权。</w:t>
      </w:r>
    </w:p>
    <w:p w14:paraId="106CF249">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第十七条 为便于合同的及时履行，乙方确认本合同填写的地址及联系电话为有效联系方式，甲方有关联系函件按此方式发送、张贴或邮寄等即视为有效送达。若乙方有效联系方式发生变更的，乙方应于变更之日起7日内书面通知甲方，否则视为未变更，因此产生的其他不利后果由乙方承担。</w:t>
      </w:r>
    </w:p>
    <w:p w14:paraId="17D7DA4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第十八条 其它事项</w:t>
      </w:r>
    </w:p>
    <w:p w14:paraId="7CAD773A">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乙方在租赁期内，应遵守物业管理规定，并根据物业服务单位规定缴交物业管理费。</w:t>
      </w:r>
    </w:p>
    <w:p w14:paraId="06EACFE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第十九条 特别约定</w:t>
      </w:r>
    </w:p>
    <w:p w14:paraId="4E0AFBC6">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甲方有权对乙方所承租场所进行监督检查，对于发现的隐患问题，乙方应根据有关规定进行整改，拒不整改的甲方有权解除合同。</w:t>
      </w:r>
    </w:p>
    <w:p w14:paraId="419CDF6D">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第二十条 本合同未尽事宜，由甲、乙双方另行组织协商，签订补充协议。补充协议与本合同具有同等的法律效力。</w:t>
      </w:r>
    </w:p>
    <w:p w14:paraId="5425491C">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第二十一条 本合同在履行中若发生歧义与纷争，甲、乙双方可协商解决。协商不成，任何一方均可向租赁标的物所在地人民法院提起诉讼。</w:t>
      </w:r>
    </w:p>
    <w:p w14:paraId="4793008E">
      <w:pPr>
        <w:keepNext w:val="0"/>
        <w:keepLines w:val="0"/>
        <w:pageBreakBefore w:val="0"/>
        <w:kinsoku/>
        <w:overflowPunct/>
        <w:topLinePunct w:val="0"/>
        <w:autoSpaceDE/>
        <w:autoSpaceDN/>
        <w:bidi w:val="0"/>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第二十二条  本合同一式肆份，甲方贰份，乙方贰份，均具有同等效力，自双方签字（盖章）之日起生效。</w:t>
      </w:r>
    </w:p>
    <w:p w14:paraId="0D9D2EDA">
      <w:pPr>
        <w:keepNext w:val="0"/>
        <w:keepLines w:val="0"/>
        <w:pageBreakBefore w:val="0"/>
        <w:kinsoku/>
        <w:overflowPunct/>
        <w:topLinePunct w:val="0"/>
        <w:autoSpaceDE/>
        <w:autoSpaceDN/>
        <w:bidi w:val="0"/>
        <w:spacing w:line="240" w:lineRule="auto"/>
        <w:ind w:firstLine="560" w:firstLineChars="200"/>
        <w:jc w:val="center"/>
        <w:rPr>
          <w:rFonts w:hint="eastAsia" w:ascii="仿宋_GB2312" w:hAnsi="仿宋_GB2312" w:eastAsia="仿宋_GB2312" w:cs="仿宋_GB2312"/>
          <w:color w:val="auto"/>
          <w:sz w:val="28"/>
          <w:szCs w:val="28"/>
          <w:highlight w:val="none"/>
          <w:lang w:val="en-US" w:eastAsia="zh-CN"/>
        </w:rPr>
      </w:pPr>
    </w:p>
    <w:p w14:paraId="35931B2E">
      <w:pPr>
        <w:keepNext w:val="0"/>
        <w:keepLines w:val="0"/>
        <w:pageBreakBefore w:val="0"/>
        <w:kinsoku/>
        <w:overflowPunct/>
        <w:topLinePunct w:val="0"/>
        <w:autoSpaceDE/>
        <w:autoSpaceDN/>
        <w:bidi w:val="0"/>
        <w:spacing w:line="240" w:lineRule="auto"/>
        <w:ind w:firstLine="560" w:firstLineChars="200"/>
        <w:jc w:val="center"/>
        <w:rPr>
          <w:rFonts w:hint="eastAsia" w:ascii="仿宋_GB2312" w:hAnsi="仿宋_GB2312" w:eastAsia="仿宋_GB2312" w:cs="仿宋_GB2312"/>
          <w:color w:val="auto"/>
          <w:sz w:val="28"/>
          <w:szCs w:val="28"/>
          <w:highlight w:val="none"/>
          <w:lang w:val="en-US" w:eastAsia="zh-CN"/>
        </w:rPr>
      </w:pPr>
    </w:p>
    <w:p w14:paraId="0A750967">
      <w:pPr>
        <w:keepNext w:val="0"/>
        <w:keepLines w:val="0"/>
        <w:pageBreakBefore w:val="0"/>
        <w:kinsoku/>
        <w:overflowPunct/>
        <w:topLinePunct w:val="0"/>
        <w:autoSpaceDE/>
        <w:autoSpaceDN/>
        <w:bidi w:val="0"/>
        <w:spacing w:line="240" w:lineRule="auto"/>
        <w:ind w:firstLine="560" w:firstLineChars="20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（以下无正文）</w:t>
      </w:r>
    </w:p>
    <w:p w14:paraId="137C5FE0">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出租方（盖章）：                       承租方（盖章）：</w:t>
      </w:r>
    </w:p>
    <w:p w14:paraId="1457D0C7">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授权代表人签名：                      授权代表人签名：</w:t>
      </w:r>
    </w:p>
    <w:p w14:paraId="64D98B22">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 xml:space="preserve"> 电   话：</w:t>
      </w:r>
      <w:r>
        <w:rPr>
          <w:rFonts w:hint="eastAsia" w:ascii="仿宋_GB2312" w:hAnsi="仿宋_GB2312" w:eastAsia="仿宋_GB2312" w:cs="仿宋_GB2312"/>
          <w:color w:val="auto"/>
          <w:spacing w:val="-20"/>
          <w:sz w:val="28"/>
          <w:szCs w:val="28"/>
          <w:highlight w:val="none"/>
          <w:lang w:val="en-US" w:eastAsia="zh-CN"/>
        </w:rPr>
        <w:t xml:space="preserve">                    </w:t>
      </w:r>
      <w:r>
        <w:rPr>
          <w:rFonts w:hint="eastAsia" w:ascii="仿宋_GB2312" w:hAnsi="仿宋_GB2312" w:eastAsia="仿宋_GB2312" w:cs="仿宋_GB2312"/>
          <w:color w:val="auto"/>
          <w:spacing w:val="-20"/>
          <w:sz w:val="28"/>
          <w:szCs w:val="28"/>
          <w:highlight w:val="none"/>
        </w:rPr>
        <w:t xml:space="preserve">           电   话：</w:t>
      </w:r>
    </w:p>
    <w:p w14:paraId="6DB3E036">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 xml:space="preserve"> 联系地址：</w:t>
      </w:r>
      <w:r>
        <w:rPr>
          <w:rFonts w:hint="eastAsia" w:ascii="仿宋_GB2312" w:hAnsi="仿宋_GB2312" w:eastAsia="仿宋_GB2312" w:cs="仿宋_GB2312"/>
          <w:color w:val="auto"/>
          <w:spacing w:val="-20"/>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pacing w:val="-20"/>
          <w:sz w:val="28"/>
          <w:szCs w:val="28"/>
          <w:highlight w:val="none"/>
        </w:rPr>
        <w:t>联系地址：</w:t>
      </w:r>
    </w:p>
    <w:p w14:paraId="0AFDF505">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签约地点：</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签订时间：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1CF42D27">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2673D5CA">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507CAAA7">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64DD18B9">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1B961019">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4C5D3639">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3BD1A64D">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4675E020">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2D11E600">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2E49B2B2">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493A9E63">
      <w:pPr>
        <w:adjustRightInd w:val="0"/>
        <w:snapToGrid w:val="0"/>
        <w:jc w:val="center"/>
        <w:rPr>
          <w:rFonts w:hint="eastAsia" w:ascii="方正小标宋简体" w:eastAsia="方正小标宋简体"/>
          <w:color w:val="auto"/>
          <w:sz w:val="52"/>
          <w:szCs w:val="44"/>
          <w:highlight w:val="none"/>
          <w:lang w:eastAsia="zh-CN"/>
        </w:rPr>
      </w:pPr>
      <w:r>
        <w:rPr>
          <w:rFonts w:hint="eastAsia" w:ascii="方正小标宋简体" w:eastAsia="方正小标宋简体"/>
          <w:color w:val="auto"/>
          <w:sz w:val="52"/>
          <w:szCs w:val="44"/>
          <w:highlight w:val="none"/>
          <w:lang w:val="en-US" w:eastAsia="zh-CN"/>
        </w:rPr>
        <w:t>南平市武夷科创运营管理</w:t>
      </w:r>
      <w:r>
        <w:rPr>
          <w:rFonts w:hint="eastAsia" w:ascii="方正小标宋简体" w:eastAsia="方正小标宋简体"/>
          <w:color w:val="auto"/>
          <w:sz w:val="52"/>
          <w:szCs w:val="44"/>
          <w:highlight w:val="none"/>
          <w:lang w:eastAsia="zh-CN"/>
        </w:rPr>
        <w:t>有限公司</w:t>
      </w:r>
    </w:p>
    <w:p w14:paraId="1359B389">
      <w:pPr>
        <w:adjustRightInd w:val="0"/>
        <w:snapToGrid w:val="0"/>
        <w:jc w:val="center"/>
        <w:rPr>
          <w:rFonts w:hint="eastAsia" w:ascii="方正小标宋简体" w:eastAsia="方正小标宋简体"/>
          <w:color w:val="auto"/>
          <w:sz w:val="52"/>
          <w:szCs w:val="44"/>
          <w:highlight w:val="none"/>
          <w:lang w:val="en-US" w:eastAsia="zh-CN"/>
        </w:rPr>
      </w:pPr>
      <w:r>
        <w:rPr>
          <w:rFonts w:hint="eastAsia" w:ascii="方正小标宋简体" w:eastAsia="方正小标宋简体"/>
          <w:color w:val="auto"/>
          <w:sz w:val="52"/>
          <w:szCs w:val="44"/>
          <w:highlight w:val="none"/>
        </w:rPr>
        <w:t>安全生产</w:t>
      </w:r>
    </w:p>
    <w:p w14:paraId="202C77FD">
      <w:pPr>
        <w:adjustRightInd w:val="0"/>
        <w:snapToGrid w:val="0"/>
        <w:jc w:val="center"/>
        <w:rPr>
          <w:rFonts w:ascii="方正小标宋简体" w:eastAsia="方正小标宋简体"/>
          <w:color w:val="auto"/>
          <w:sz w:val="52"/>
          <w:szCs w:val="44"/>
          <w:highlight w:val="none"/>
        </w:rPr>
      </w:pPr>
    </w:p>
    <w:p w14:paraId="58FC259E">
      <w:pPr>
        <w:adjustRightInd w:val="0"/>
        <w:snapToGrid w:val="0"/>
        <w:jc w:val="center"/>
        <w:rPr>
          <w:rFonts w:ascii="方正小标宋简体" w:eastAsia="方正小标宋简体"/>
          <w:color w:val="auto"/>
          <w:sz w:val="48"/>
          <w:szCs w:val="44"/>
          <w:highlight w:val="none"/>
        </w:rPr>
      </w:pPr>
    </w:p>
    <w:p w14:paraId="68668F6C">
      <w:pPr>
        <w:adjustRightInd w:val="0"/>
        <w:snapToGrid w:val="0"/>
        <w:jc w:val="center"/>
        <w:rPr>
          <w:rFonts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管</w:t>
      </w:r>
    </w:p>
    <w:p w14:paraId="6BEB9930">
      <w:pPr>
        <w:adjustRightInd w:val="0"/>
        <w:snapToGrid w:val="0"/>
        <w:jc w:val="center"/>
        <w:rPr>
          <w:rFonts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理</w:t>
      </w:r>
    </w:p>
    <w:p w14:paraId="0C102C1A">
      <w:pPr>
        <w:adjustRightInd w:val="0"/>
        <w:snapToGrid w:val="0"/>
        <w:jc w:val="center"/>
        <w:rPr>
          <w:rFonts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协</w:t>
      </w:r>
    </w:p>
    <w:p w14:paraId="42E1EB40">
      <w:pPr>
        <w:adjustRightInd w:val="0"/>
        <w:snapToGrid w:val="0"/>
        <w:jc w:val="center"/>
        <w:rPr>
          <w:rFonts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议</w:t>
      </w:r>
    </w:p>
    <w:p w14:paraId="3F60DBA4">
      <w:pPr>
        <w:adjustRightInd w:val="0"/>
        <w:snapToGrid w:val="0"/>
        <w:jc w:val="center"/>
        <w:rPr>
          <w:rFonts w:hint="eastAsia"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书</w:t>
      </w:r>
    </w:p>
    <w:p w14:paraId="02029700">
      <w:pPr>
        <w:adjustRightInd w:val="0"/>
        <w:snapToGrid w:val="0"/>
        <w:jc w:val="center"/>
        <w:rPr>
          <w:rFonts w:hint="eastAsia" w:ascii="方正小标宋简体" w:eastAsia="方正小标宋简体"/>
          <w:color w:val="auto"/>
          <w:sz w:val="72"/>
          <w:szCs w:val="44"/>
          <w:highlight w:val="none"/>
        </w:rPr>
      </w:pPr>
    </w:p>
    <w:p w14:paraId="1B9341C8">
      <w:pPr>
        <w:adjustRightInd w:val="0"/>
        <w:snapToGrid w:val="0"/>
        <w:jc w:val="center"/>
        <w:rPr>
          <w:rFonts w:hint="eastAsia" w:ascii="方正小标宋简体" w:eastAsia="方正小标宋简体"/>
          <w:color w:val="auto"/>
          <w:sz w:val="72"/>
          <w:szCs w:val="44"/>
          <w:highlight w:val="none"/>
        </w:rPr>
      </w:pPr>
    </w:p>
    <w:p w14:paraId="4E1BBED9">
      <w:pPr>
        <w:keepNext w:val="0"/>
        <w:keepLines w:val="0"/>
        <w:pageBreakBefore w:val="0"/>
        <w:widowControl w:val="0"/>
        <w:kinsoku/>
        <w:wordWrap/>
        <w:overflowPunct/>
        <w:topLinePunct w:val="0"/>
        <w:autoSpaceDE/>
        <w:autoSpaceDN/>
        <w:bidi w:val="0"/>
        <w:adjustRightInd w:val="0"/>
        <w:snapToGrid w:val="0"/>
        <w:ind w:left="0" w:leftChars="0" w:right="0" w:rightChars="0" w:firstLine="1920" w:firstLineChars="600"/>
        <w:jc w:val="left"/>
        <w:textAlignment w:val="auto"/>
        <w:rPr>
          <w:rFonts w:hint="eastAsia"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甲方：</w:t>
      </w:r>
      <w:r>
        <w:rPr>
          <w:rFonts w:hint="eastAsia" w:ascii="方正小标宋简体" w:eastAsia="方正小标宋简体"/>
          <w:color w:val="auto"/>
          <w:sz w:val="32"/>
          <w:szCs w:val="32"/>
          <w:highlight w:val="none"/>
          <w:lang w:val="en-US" w:eastAsia="zh-CN"/>
        </w:rPr>
        <w:t>南平市武夷科创运营管理</w:t>
      </w:r>
      <w:r>
        <w:rPr>
          <w:rFonts w:hint="eastAsia" w:ascii="方正小标宋简体" w:eastAsia="方正小标宋简体"/>
          <w:color w:val="auto"/>
          <w:sz w:val="32"/>
          <w:szCs w:val="32"/>
          <w:highlight w:val="none"/>
          <w:lang w:eastAsia="zh-CN"/>
        </w:rPr>
        <w:t>有限公司</w:t>
      </w:r>
    </w:p>
    <w:p w14:paraId="26BECC5F">
      <w:pPr>
        <w:keepNext w:val="0"/>
        <w:keepLines w:val="0"/>
        <w:pageBreakBefore w:val="0"/>
        <w:widowControl w:val="0"/>
        <w:kinsoku/>
        <w:wordWrap/>
        <w:overflowPunct/>
        <w:topLinePunct w:val="0"/>
        <w:autoSpaceDE/>
        <w:autoSpaceDN/>
        <w:bidi w:val="0"/>
        <w:adjustRightInd w:val="0"/>
        <w:snapToGrid w:val="0"/>
        <w:ind w:left="0" w:leftChars="0" w:firstLine="1920" w:firstLineChars="600"/>
        <w:jc w:val="left"/>
        <w:textAlignment w:val="auto"/>
        <w:rPr>
          <w:rFonts w:ascii="方正小标宋简体" w:eastAsia="方正小标宋简体"/>
          <w:color w:val="auto"/>
          <w:sz w:val="44"/>
          <w:szCs w:val="44"/>
          <w:highlight w:val="none"/>
        </w:rPr>
        <w:sectPr>
          <w:headerReference r:id="rId3" w:type="default"/>
          <w:footerReference r:id="rId4" w:type="default"/>
          <w:pgSz w:w="11906" w:h="16838"/>
          <w:pgMar w:top="1020" w:right="1134" w:bottom="1020" w:left="1134" w:header="851" w:footer="992" w:gutter="0"/>
          <w:pgNumType w:fmt="numberInDash" w:start="1"/>
          <w:cols w:space="1680" w:num="1"/>
          <w:docGrid w:type="linesAndChars" w:linePitch="312" w:charSpace="0"/>
        </w:sectPr>
      </w:pPr>
      <w:r>
        <w:rPr>
          <w:rFonts w:hint="eastAsia" w:ascii="方正小标宋简体" w:eastAsia="方正小标宋简体"/>
          <w:color w:val="auto"/>
          <w:sz w:val="32"/>
          <w:szCs w:val="32"/>
          <w:highlight w:val="none"/>
        </w:rPr>
        <w:t>乙方：</w:t>
      </w:r>
    </w:p>
    <w:p w14:paraId="5C8D8677">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7A53E280">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安全生产管理协议书</w:t>
      </w:r>
    </w:p>
    <w:p w14:paraId="3FF7A3A4">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20E5C7AB">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甲方：</w:t>
      </w:r>
      <w:r>
        <w:rPr>
          <w:rFonts w:hint="eastAsia" w:ascii="仿宋_GB2312" w:hAnsi="仿宋_GB2312" w:eastAsia="仿宋_GB2312" w:cs="仿宋_GB2312"/>
          <w:b/>
          <w:bCs/>
          <w:color w:val="auto"/>
          <w:sz w:val="32"/>
          <w:szCs w:val="32"/>
          <w:highlight w:val="none"/>
          <w:lang w:val="en-US" w:eastAsia="zh-CN"/>
        </w:rPr>
        <w:t>南平市武夷科创运营管理</w:t>
      </w:r>
      <w:r>
        <w:rPr>
          <w:rFonts w:hint="eastAsia" w:ascii="仿宋_GB2312" w:hAnsi="仿宋_GB2312" w:eastAsia="仿宋_GB2312" w:cs="仿宋_GB2312"/>
          <w:b/>
          <w:bCs/>
          <w:color w:val="auto"/>
          <w:sz w:val="32"/>
          <w:szCs w:val="32"/>
          <w:highlight w:val="none"/>
          <w:lang w:eastAsia="zh-CN"/>
        </w:rPr>
        <w:t>有限公司</w:t>
      </w:r>
    </w:p>
    <w:p w14:paraId="7A969AD8">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乙方：</w:t>
      </w:r>
    </w:p>
    <w:p w14:paraId="3211575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p>
    <w:p w14:paraId="339D014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为全面贯彻《中华人民共和国安全生产法》《中华人民共和国消防法》和</w:t>
      </w:r>
      <w:r>
        <w:rPr>
          <w:rFonts w:hint="eastAsia" w:ascii="仿宋_GB2312" w:hAnsi="仿宋_GB2312" w:eastAsia="仿宋_GB2312" w:cs="仿宋_GB2312"/>
          <w:color w:val="auto"/>
          <w:sz w:val="32"/>
          <w:szCs w:val="32"/>
          <w:highlight w:val="none"/>
          <w:lang w:val="en-US" w:eastAsia="zh-CN"/>
        </w:rPr>
        <w:t>福建省</w:t>
      </w:r>
      <w:r>
        <w:rPr>
          <w:rFonts w:hint="eastAsia" w:ascii="仿宋_GB2312" w:hAnsi="仿宋_GB2312" w:eastAsia="仿宋_GB2312" w:cs="仿宋_GB2312"/>
          <w:color w:val="auto"/>
          <w:sz w:val="32"/>
          <w:szCs w:val="32"/>
          <w:highlight w:val="none"/>
        </w:rPr>
        <w:t>有关安全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消防安全、</w:t>
      </w:r>
      <w:r>
        <w:rPr>
          <w:rFonts w:hint="eastAsia" w:ascii="仿宋_GB2312" w:hAnsi="仿宋_GB2312" w:eastAsia="仿宋_GB2312" w:cs="仿宋_GB2312"/>
          <w:color w:val="auto"/>
          <w:sz w:val="32"/>
          <w:szCs w:val="32"/>
          <w:highlight w:val="none"/>
        </w:rPr>
        <w:t>环保、职业病防治等法律法规要求，坚持以人为本，坚持人民至上、生命至上，把保护人民生命安全摆在首位，树牢安全发展理念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坚持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安全第一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预防为主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综合治理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及“预防为主，防消结合”</w:t>
      </w:r>
      <w:r>
        <w:rPr>
          <w:rFonts w:hint="eastAsia" w:ascii="仿宋_GB2312" w:hAnsi="仿宋_GB2312" w:eastAsia="仿宋_GB2312" w:cs="仿宋_GB2312"/>
          <w:color w:val="auto"/>
          <w:sz w:val="32"/>
          <w:szCs w:val="32"/>
          <w:highlight w:val="none"/>
        </w:rPr>
        <w:t>的方针</w:t>
      </w:r>
      <w:r>
        <w:rPr>
          <w:rFonts w:hint="eastAsia" w:ascii="仿宋_GB2312" w:hAnsi="仿宋_GB2312" w:eastAsia="仿宋_GB2312" w:cs="仿宋_GB2312"/>
          <w:color w:val="auto"/>
          <w:sz w:val="32"/>
          <w:szCs w:val="32"/>
          <w:highlight w:val="none"/>
          <w:lang w:val="en-US" w:eastAsia="zh-CN"/>
        </w:rPr>
        <w:t>和“谁经营，谁负责”的原则</w:t>
      </w:r>
      <w:r>
        <w:rPr>
          <w:rFonts w:hint="eastAsia" w:ascii="仿宋_GB2312" w:hAnsi="仿宋_GB2312" w:eastAsia="仿宋_GB2312" w:cs="仿宋_GB2312"/>
          <w:color w:val="auto"/>
          <w:sz w:val="32"/>
          <w:szCs w:val="32"/>
          <w:highlight w:val="none"/>
        </w:rPr>
        <w:t>，从源头上防范化解重大安全风险。按照各级安全生产监督管理部门的工作要求，经甲乙双方平等协商，达成一致，自愿签订本协议，并共同遵守本协议的各项规定。</w:t>
      </w:r>
    </w:p>
    <w:p w14:paraId="36CBBB8B">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甲方</w:t>
      </w:r>
      <w:r>
        <w:rPr>
          <w:rFonts w:hint="eastAsia" w:ascii="黑体" w:hAnsi="黑体" w:eastAsia="黑体" w:cs="黑体"/>
          <w:b w:val="0"/>
          <w:bCs w:val="0"/>
          <w:color w:val="auto"/>
          <w:sz w:val="32"/>
          <w:szCs w:val="32"/>
          <w:highlight w:val="none"/>
          <w:lang w:eastAsia="zh-CN"/>
        </w:rPr>
        <w:t>安全生产</w:t>
      </w:r>
      <w:r>
        <w:rPr>
          <w:rFonts w:hint="eastAsia" w:ascii="黑体" w:hAnsi="黑体" w:eastAsia="黑体" w:cs="黑体"/>
          <w:b w:val="0"/>
          <w:bCs w:val="0"/>
          <w:color w:val="auto"/>
          <w:sz w:val="32"/>
          <w:szCs w:val="32"/>
          <w:highlight w:val="none"/>
        </w:rPr>
        <w:t>职责</w:t>
      </w:r>
    </w:p>
    <w:p w14:paraId="6C3059DB">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为乙方</w:t>
      </w:r>
      <w:r>
        <w:rPr>
          <w:rFonts w:hint="eastAsia" w:ascii="仿宋_GB2312" w:hAnsi="仿宋_GB2312" w:eastAsia="仿宋_GB2312" w:cs="仿宋_GB2312"/>
          <w:color w:val="auto"/>
          <w:sz w:val="32"/>
          <w:szCs w:val="32"/>
          <w:highlight w:val="none"/>
        </w:rPr>
        <w:t>提供符合</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要求的</w:t>
      </w:r>
      <w:r>
        <w:rPr>
          <w:rFonts w:hint="eastAsia" w:ascii="仿宋_GB2312" w:hAnsi="仿宋_GB2312" w:eastAsia="仿宋_GB2312" w:cs="仿宋_GB2312"/>
          <w:color w:val="auto"/>
          <w:sz w:val="32"/>
          <w:szCs w:val="32"/>
          <w:highlight w:val="none"/>
          <w:lang w:val="en-US" w:eastAsia="zh-CN"/>
        </w:rPr>
        <w:t>承租</w:t>
      </w:r>
      <w:r>
        <w:rPr>
          <w:rFonts w:hint="eastAsia" w:ascii="仿宋_GB2312" w:hAnsi="仿宋_GB2312" w:eastAsia="仿宋_GB2312" w:cs="仿宋_GB2312"/>
          <w:color w:val="auto"/>
          <w:sz w:val="32"/>
          <w:szCs w:val="32"/>
          <w:highlight w:val="none"/>
        </w:rPr>
        <w:t>场所</w:t>
      </w:r>
      <w:r>
        <w:rPr>
          <w:rFonts w:hint="eastAsia" w:ascii="仿宋_GB2312" w:hAnsi="仿宋_GB2312" w:eastAsia="仿宋_GB2312" w:cs="仿宋_GB2312"/>
          <w:color w:val="auto"/>
          <w:sz w:val="32"/>
          <w:szCs w:val="32"/>
          <w:highlight w:val="none"/>
          <w:lang w:eastAsia="zh-CN"/>
        </w:rPr>
        <w:t>。</w:t>
      </w:r>
    </w:p>
    <w:p w14:paraId="04E3000C">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（二）及时向</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传达有关行政主管部门的</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工作要求。</w:t>
      </w:r>
    </w:p>
    <w:p w14:paraId="451CB5D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（三）定期了解</w:t>
      </w:r>
      <w:r>
        <w:rPr>
          <w:rFonts w:hint="eastAsia" w:ascii="仿宋_GB2312" w:hAnsi="仿宋_GB2312" w:eastAsia="仿宋_GB2312" w:cs="仿宋_GB2312"/>
          <w:color w:val="auto"/>
          <w:sz w:val="32"/>
          <w:szCs w:val="32"/>
          <w:highlight w:val="none"/>
          <w:lang w:val="en-US" w:eastAsia="zh-CN"/>
        </w:rPr>
        <w:t>乙方承租区域</w:t>
      </w:r>
      <w:r>
        <w:rPr>
          <w:rFonts w:hint="eastAsia" w:ascii="仿宋_GB2312" w:hAnsi="仿宋_GB2312" w:eastAsia="仿宋_GB2312" w:cs="仿宋_GB2312"/>
          <w:color w:val="auto"/>
          <w:sz w:val="32"/>
          <w:szCs w:val="32"/>
          <w:highlight w:val="none"/>
        </w:rPr>
        <w:t>的安全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情况，</w:t>
      </w:r>
      <w:r>
        <w:rPr>
          <w:rFonts w:hint="eastAsia" w:ascii="仿宋_GB2312" w:hAnsi="仿宋_GB2312" w:eastAsia="仿宋_GB2312" w:cs="仿宋_GB2312"/>
          <w:color w:val="auto"/>
          <w:sz w:val="32"/>
          <w:szCs w:val="32"/>
          <w:highlight w:val="none"/>
          <w:lang w:val="en-US" w:eastAsia="zh-CN"/>
        </w:rPr>
        <w:t>审核乙方装修、改造方案，</w:t>
      </w:r>
      <w:r>
        <w:rPr>
          <w:rFonts w:hint="eastAsia" w:ascii="仿宋_GB2312" w:hAnsi="仿宋_GB2312" w:eastAsia="仿宋_GB2312" w:cs="仿宋_GB2312"/>
          <w:color w:val="auto"/>
          <w:sz w:val="32"/>
          <w:szCs w:val="32"/>
          <w:highlight w:val="none"/>
        </w:rPr>
        <w:t>及时制止</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危害安全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的行为</w:t>
      </w:r>
      <w:r>
        <w:rPr>
          <w:rFonts w:hint="eastAsia" w:ascii="仿宋_GB2312" w:hAnsi="仿宋_GB2312" w:eastAsia="仿宋_GB2312" w:cs="仿宋_GB2312"/>
          <w:color w:val="auto"/>
          <w:sz w:val="32"/>
          <w:szCs w:val="32"/>
          <w:highlight w:val="none"/>
          <w:lang w:eastAsia="zh-CN"/>
        </w:rPr>
        <w:t>。</w:t>
      </w:r>
    </w:p>
    <w:p w14:paraId="53F19C9C">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（四）督促</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加强</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对乙方的承租区域的安全生产工作统一协调、管理，定期对其进行安全检查并督促相关问题整改。</w:t>
      </w:r>
    </w:p>
    <w:p w14:paraId="62BC4B22">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val="en-US" w:eastAsia="zh-CN"/>
        </w:rPr>
        <w:t>定期对关键部位的安全警示标志、标线进行维护管理。</w:t>
      </w:r>
    </w:p>
    <w:p w14:paraId="5FEAD567">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（六）保障公共区域疏散等通道、安全出口的畅通。</w:t>
      </w:r>
    </w:p>
    <w:p w14:paraId="07F5A242">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lang w:eastAsia="zh-CN"/>
        </w:rPr>
      </w:pPr>
    </w:p>
    <w:p w14:paraId="5F23FA94">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第二条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乙方安全生产职责</w:t>
      </w:r>
    </w:p>
    <w:p w14:paraId="2DC3312D">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一、综合管理</w:t>
      </w:r>
    </w:p>
    <w:p w14:paraId="0EDDEA91">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法定代表人（或自然人）为安全生产、消防</w:t>
      </w:r>
      <w:r>
        <w:rPr>
          <w:rFonts w:hint="eastAsia" w:ascii="仿宋_GB2312" w:hAnsi="仿宋_GB2312" w:eastAsia="仿宋_GB2312" w:cs="仿宋_GB2312"/>
          <w:color w:val="auto"/>
          <w:sz w:val="32"/>
          <w:szCs w:val="32"/>
          <w:highlight w:val="none"/>
          <w:lang w:val="en-US" w:eastAsia="zh-CN"/>
        </w:rPr>
        <w:t>安全</w:t>
      </w:r>
      <w:r>
        <w:rPr>
          <w:rFonts w:hint="eastAsia" w:ascii="仿宋_GB2312" w:hAnsi="仿宋_GB2312" w:eastAsia="仿宋_GB2312" w:cs="仿宋_GB2312"/>
          <w:color w:val="auto"/>
          <w:sz w:val="32"/>
          <w:szCs w:val="32"/>
          <w:highlight w:val="none"/>
        </w:rPr>
        <w:t>第一责任人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乙方须严格遵守</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生产相关法律、法规，具备安全生产条件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对承租</w:t>
      </w:r>
      <w:r>
        <w:rPr>
          <w:rFonts w:hint="eastAsia" w:ascii="仿宋_GB2312" w:hAnsi="仿宋_GB2312" w:eastAsia="仿宋_GB2312" w:cs="仿宋_GB2312"/>
          <w:color w:val="auto"/>
          <w:sz w:val="32"/>
          <w:szCs w:val="32"/>
          <w:highlight w:val="none"/>
          <w:lang w:val="en-US" w:eastAsia="zh-CN"/>
        </w:rPr>
        <w:t>区域</w:t>
      </w:r>
      <w:r>
        <w:rPr>
          <w:rFonts w:hint="eastAsia" w:ascii="仿宋_GB2312" w:hAnsi="仿宋_GB2312" w:eastAsia="仿宋_GB2312" w:cs="仿宋_GB2312"/>
          <w:color w:val="auto"/>
          <w:sz w:val="32"/>
          <w:szCs w:val="32"/>
          <w:highlight w:val="none"/>
        </w:rPr>
        <w:t>的安全生产、消防</w:t>
      </w:r>
      <w:r>
        <w:rPr>
          <w:rFonts w:hint="eastAsia" w:ascii="仿宋_GB2312" w:hAnsi="仿宋_GB2312" w:eastAsia="仿宋_GB2312" w:cs="仿宋_GB2312"/>
          <w:color w:val="auto"/>
          <w:sz w:val="32"/>
          <w:szCs w:val="32"/>
          <w:highlight w:val="none"/>
          <w:lang w:val="en-US" w:eastAsia="zh-CN"/>
        </w:rPr>
        <w:t>安全、环保及职业健康全面负责</w:t>
      </w:r>
      <w:r>
        <w:rPr>
          <w:rFonts w:hint="eastAsia" w:ascii="仿宋_GB2312" w:hAnsi="仿宋_GB2312" w:eastAsia="仿宋_GB2312" w:cs="仿宋_GB2312"/>
          <w:color w:val="auto"/>
          <w:sz w:val="32"/>
          <w:szCs w:val="32"/>
          <w:highlight w:val="none"/>
          <w:lang w:eastAsia="zh-CN"/>
        </w:rPr>
        <w:t>。</w:t>
      </w:r>
    </w:p>
    <w:p w14:paraId="36FC8AFD">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（二）遵守甲方在安全生产、消防安全、环保、职业健康等方面的工作要求，及时落实甲方及相关部门安全检查中发现的隐患整改要求。</w:t>
      </w:r>
    </w:p>
    <w:p w14:paraId="2FA652B2">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乙方进场前应对</w:t>
      </w:r>
      <w:r>
        <w:rPr>
          <w:rFonts w:hint="eastAsia" w:ascii="仿宋_GB2312" w:hAnsi="仿宋_GB2312" w:eastAsia="仿宋_GB2312" w:cs="仿宋_GB2312"/>
          <w:color w:val="auto"/>
          <w:sz w:val="32"/>
          <w:szCs w:val="32"/>
          <w:highlight w:val="none"/>
          <w:lang w:val="en-US" w:eastAsia="zh-CN"/>
        </w:rPr>
        <w:t>承租区域</w:t>
      </w:r>
      <w:r>
        <w:rPr>
          <w:rFonts w:hint="eastAsia" w:ascii="仿宋_GB2312" w:hAnsi="仿宋_GB2312" w:eastAsia="仿宋_GB2312" w:cs="仿宋_GB2312"/>
          <w:color w:val="auto"/>
          <w:sz w:val="32"/>
          <w:szCs w:val="32"/>
          <w:highlight w:val="none"/>
        </w:rPr>
        <w:t>进行安全检查和确定，如有问题及时与甲方联系。未联系的视为确认</w:t>
      </w:r>
      <w:r>
        <w:rPr>
          <w:rFonts w:hint="eastAsia" w:ascii="仿宋_GB2312" w:hAnsi="仿宋_GB2312" w:eastAsia="仿宋_GB2312" w:cs="仿宋_GB2312"/>
          <w:color w:val="auto"/>
          <w:sz w:val="32"/>
          <w:szCs w:val="32"/>
          <w:highlight w:val="none"/>
          <w:lang w:val="en-US" w:eastAsia="zh-CN"/>
        </w:rPr>
        <w:t>承租区域</w:t>
      </w:r>
      <w:r>
        <w:rPr>
          <w:rFonts w:hint="eastAsia" w:ascii="仿宋_GB2312" w:hAnsi="仿宋_GB2312" w:eastAsia="仿宋_GB2312" w:cs="仿宋_GB2312"/>
          <w:color w:val="auto"/>
          <w:sz w:val="32"/>
          <w:szCs w:val="32"/>
          <w:highlight w:val="none"/>
        </w:rPr>
        <w:t>符合安全条件，相关举证责任将由乙方承担</w:t>
      </w:r>
      <w:r>
        <w:rPr>
          <w:rFonts w:hint="eastAsia" w:ascii="仿宋_GB2312" w:hAnsi="仿宋_GB2312" w:eastAsia="仿宋_GB2312" w:cs="仿宋_GB2312"/>
          <w:color w:val="auto"/>
          <w:sz w:val="32"/>
          <w:szCs w:val="32"/>
          <w:highlight w:val="none"/>
          <w:lang w:val="en-US" w:eastAsia="zh-CN"/>
        </w:rPr>
        <w:t>。</w:t>
      </w:r>
    </w:p>
    <w:p w14:paraId="36ABCA16">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严格遵守安全用电管理规定，对承租区域内火源、电气、燃气设备设施要有专人负责，并经常维修、保养。严禁超负荷用电及在承租区域内私拉、乱接电线及电源插座。使用的电气产品线路、管路的设计、敷设、维护保养、检测，必须符合消防技术标准和相关管理规定。用火、用电时人员不得擅自离开，做到人走火灭、电断。</w:t>
      </w:r>
    </w:p>
    <w:p w14:paraId="047B3A43">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乙方不得擅自改变</w:t>
      </w:r>
      <w:r>
        <w:rPr>
          <w:rFonts w:hint="eastAsia" w:ascii="仿宋_GB2312" w:hAnsi="仿宋_GB2312" w:eastAsia="仿宋_GB2312" w:cs="仿宋_GB2312"/>
          <w:color w:val="auto"/>
          <w:sz w:val="32"/>
          <w:szCs w:val="32"/>
          <w:highlight w:val="none"/>
          <w:lang w:val="en-US" w:eastAsia="zh-CN"/>
        </w:rPr>
        <w:t>承租区域的</w:t>
      </w:r>
      <w:r>
        <w:rPr>
          <w:rFonts w:hint="eastAsia" w:ascii="仿宋_GB2312" w:hAnsi="仿宋_GB2312" w:eastAsia="仿宋_GB2312" w:cs="仿宋_GB2312"/>
          <w:color w:val="auto"/>
          <w:sz w:val="32"/>
          <w:szCs w:val="32"/>
          <w:highlight w:val="none"/>
        </w:rPr>
        <w:t>使用功能、建筑结构。如因</w:t>
      </w:r>
      <w:r>
        <w:rPr>
          <w:rFonts w:hint="eastAsia" w:ascii="仿宋_GB2312" w:hAnsi="仿宋_GB2312" w:eastAsia="仿宋_GB2312" w:cs="仿宋_GB2312"/>
          <w:color w:val="auto"/>
          <w:sz w:val="32"/>
          <w:szCs w:val="32"/>
          <w:highlight w:val="none"/>
          <w:lang w:val="en-US" w:eastAsia="zh-CN"/>
        </w:rPr>
        <w:t>生产经营</w:t>
      </w:r>
      <w:r>
        <w:rPr>
          <w:rFonts w:hint="eastAsia" w:ascii="仿宋_GB2312" w:hAnsi="仿宋_GB2312" w:eastAsia="仿宋_GB2312" w:cs="仿宋_GB2312"/>
          <w:color w:val="auto"/>
          <w:sz w:val="32"/>
          <w:szCs w:val="32"/>
          <w:highlight w:val="none"/>
        </w:rPr>
        <w:t>需要装修、改造，必须向</w:t>
      </w:r>
      <w:r>
        <w:rPr>
          <w:rFonts w:hint="eastAsia" w:ascii="仿宋_GB2312" w:hAnsi="仿宋_GB2312" w:eastAsia="仿宋_GB2312" w:cs="仿宋_GB2312"/>
          <w:color w:val="auto"/>
          <w:sz w:val="32"/>
          <w:szCs w:val="32"/>
          <w:highlight w:val="none"/>
          <w:lang w:val="en-US" w:eastAsia="zh-CN"/>
        </w:rPr>
        <w:t>事前</w:t>
      </w:r>
      <w:r>
        <w:rPr>
          <w:rFonts w:hint="eastAsia" w:ascii="仿宋_GB2312" w:hAnsi="仿宋_GB2312" w:eastAsia="仿宋_GB2312" w:cs="仿宋_GB2312"/>
          <w:color w:val="auto"/>
          <w:sz w:val="32"/>
          <w:szCs w:val="32"/>
          <w:highlight w:val="none"/>
        </w:rPr>
        <w:t>甲方提交申请，</w:t>
      </w:r>
      <w:r>
        <w:rPr>
          <w:rFonts w:hint="eastAsia" w:ascii="仿宋_GB2312" w:hAnsi="仿宋_GB2312" w:eastAsia="仿宋_GB2312" w:cs="仿宋_GB2312"/>
          <w:color w:val="auto"/>
          <w:sz w:val="32"/>
          <w:szCs w:val="32"/>
          <w:highlight w:val="none"/>
          <w:lang w:val="en-US" w:eastAsia="zh-CN"/>
        </w:rPr>
        <w:t>方案</w:t>
      </w:r>
      <w:r>
        <w:rPr>
          <w:rFonts w:hint="eastAsia" w:ascii="仿宋_GB2312" w:hAnsi="仿宋_GB2312" w:eastAsia="仿宋_GB2312" w:cs="仿宋_GB2312"/>
          <w:color w:val="auto"/>
          <w:sz w:val="32"/>
          <w:szCs w:val="32"/>
          <w:highlight w:val="none"/>
        </w:rPr>
        <w:t>经甲方审核备案</w:t>
      </w:r>
      <w:r>
        <w:rPr>
          <w:rFonts w:hint="eastAsia" w:ascii="仿宋_GB2312" w:hAnsi="仿宋_GB2312" w:eastAsia="仿宋_GB2312" w:cs="仿宋_GB2312"/>
          <w:color w:val="auto"/>
          <w:sz w:val="32"/>
          <w:szCs w:val="32"/>
          <w:highlight w:val="none"/>
          <w:lang w:val="en-US" w:eastAsia="zh-CN"/>
        </w:rPr>
        <w:t>并同意</w:t>
      </w:r>
      <w:r>
        <w:rPr>
          <w:rFonts w:hint="eastAsia" w:ascii="仿宋_GB2312" w:hAnsi="仿宋_GB2312" w:eastAsia="仿宋_GB2312" w:cs="仿宋_GB2312"/>
          <w:color w:val="auto"/>
          <w:sz w:val="32"/>
          <w:szCs w:val="32"/>
          <w:highlight w:val="none"/>
        </w:rPr>
        <w:t>后方可施工，竣工后的消防安全等级不低于原建筑物方可使用。</w:t>
      </w:r>
    </w:p>
    <w:p w14:paraId="77E8EAB3">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乙方须确保生产</w:t>
      </w:r>
      <w:r>
        <w:rPr>
          <w:rFonts w:hint="eastAsia" w:ascii="仿宋_GB2312" w:hAnsi="仿宋_GB2312" w:eastAsia="仿宋_GB2312" w:cs="仿宋_GB2312"/>
          <w:color w:val="auto"/>
          <w:sz w:val="32"/>
          <w:szCs w:val="32"/>
          <w:highlight w:val="none"/>
          <w:lang w:val="en-US" w:eastAsia="zh-CN"/>
        </w:rPr>
        <w:t>经营</w:t>
      </w:r>
      <w:r>
        <w:rPr>
          <w:rFonts w:hint="eastAsia" w:ascii="仿宋_GB2312" w:hAnsi="仿宋_GB2312" w:eastAsia="仿宋_GB2312" w:cs="仿宋_GB2312"/>
          <w:color w:val="auto"/>
          <w:sz w:val="32"/>
          <w:szCs w:val="32"/>
          <w:highlight w:val="none"/>
        </w:rPr>
        <w:t>及装修期间不会对</w:t>
      </w:r>
      <w:r>
        <w:rPr>
          <w:rFonts w:hint="eastAsia" w:ascii="仿宋_GB2312" w:hAnsi="仿宋_GB2312" w:eastAsia="仿宋_GB2312" w:cs="仿宋_GB2312"/>
          <w:color w:val="auto"/>
          <w:sz w:val="32"/>
          <w:szCs w:val="32"/>
          <w:highlight w:val="none"/>
          <w:lang w:val="en-US" w:eastAsia="zh-CN"/>
        </w:rPr>
        <w:t>甲方所属区域的</w:t>
      </w:r>
      <w:r>
        <w:rPr>
          <w:rFonts w:hint="eastAsia" w:ascii="仿宋_GB2312" w:hAnsi="仿宋_GB2312" w:eastAsia="仿宋_GB2312" w:cs="仿宋_GB2312"/>
          <w:color w:val="auto"/>
          <w:sz w:val="32"/>
          <w:szCs w:val="32"/>
          <w:highlight w:val="none"/>
        </w:rPr>
        <w:t>其他</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造成不良影响，如因乙方原因造成损害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损失</w:t>
      </w:r>
      <w:r>
        <w:rPr>
          <w:rFonts w:hint="eastAsia" w:ascii="仿宋_GB2312" w:hAnsi="仿宋_GB2312" w:eastAsia="仿宋_GB2312" w:cs="仿宋_GB2312"/>
          <w:color w:val="auto"/>
          <w:sz w:val="32"/>
          <w:szCs w:val="32"/>
          <w:highlight w:val="none"/>
        </w:rPr>
        <w:t>需承担赔偿责任的，由乙方全部承担。</w:t>
      </w:r>
    </w:p>
    <w:p w14:paraId="58BB9B68">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严禁在</w:t>
      </w:r>
      <w:r>
        <w:rPr>
          <w:rFonts w:hint="eastAsia" w:ascii="仿宋_GB2312" w:hAnsi="仿宋_GB2312" w:eastAsia="仿宋_GB2312" w:cs="仿宋_GB2312"/>
          <w:color w:val="auto"/>
          <w:sz w:val="32"/>
          <w:szCs w:val="32"/>
          <w:highlight w:val="none"/>
          <w:lang w:eastAsia="zh-CN"/>
        </w:rPr>
        <w:t>承租区域</w:t>
      </w:r>
      <w:r>
        <w:rPr>
          <w:rFonts w:hint="eastAsia" w:ascii="仿宋_GB2312" w:hAnsi="仿宋_GB2312" w:eastAsia="仿宋_GB2312" w:cs="仿宋_GB2312"/>
          <w:color w:val="auto"/>
          <w:sz w:val="32"/>
          <w:szCs w:val="32"/>
          <w:highlight w:val="none"/>
        </w:rPr>
        <w:t>内使用和储存易燃、易爆化学物品。</w:t>
      </w:r>
    </w:p>
    <w:p w14:paraId="7058B1B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车辆应遵守交通规则及甲方</w:t>
      </w:r>
      <w:r>
        <w:rPr>
          <w:rFonts w:hint="eastAsia" w:ascii="仿宋_GB2312" w:hAnsi="仿宋_GB2312" w:eastAsia="仿宋_GB2312" w:cs="仿宋_GB2312"/>
          <w:color w:val="auto"/>
          <w:sz w:val="32"/>
          <w:szCs w:val="32"/>
          <w:highlight w:val="none"/>
        </w:rPr>
        <w:t>停车场消防安全管理规定，不得带入、存放易燃易爆和危险品，人员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车辆</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货物不得占用和</w:t>
      </w:r>
      <w:r>
        <w:rPr>
          <w:rFonts w:hint="eastAsia" w:ascii="仿宋_GB2312" w:hAnsi="仿宋_GB2312" w:eastAsia="仿宋_GB2312" w:cs="仿宋_GB2312"/>
          <w:color w:val="auto"/>
          <w:sz w:val="32"/>
          <w:szCs w:val="32"/>
          <w:highlight w:val="none"/>
          <w:lang w:val="en-US" w:eastAsia="zh-CN"/>
        </w:rPr>
        <w:t>遮挡</w:t>
      </w:r>
      <w:r>
        <w:rPr>
          <w:rFonts w:hint="eastAsia" w:ascii="仿宋_GB2312" w:hAnsi="仿宋_GB2312" w:eastAsia="仿宋_GB2312" w:cs="仿宋_GB2312"/>
          <w:color w:val="auto"/>
          <w:sz w:val="32"/>
          <w:szCs w:val="32"/>
          <w:highlight w:val="none"/>
        </w:rPr>
        <w:t>消防设备设施、</w:t>
      </w:r>
      <w:r>
        <w:rPr>
          <w:rFonts w:hint="eastAsia" w:ascii="仿宋_GB2312" w:hAnsi="仿宋_GB2312" w:eastAsia="仿宋_GB2312" w:cs="仿宋_GB2312"/>
          <w:color w:val="auto"/>
          <w:sz w:val="32"/>
          <w:szCs w:val="32"/>
          <w:highlight w:val="none"/>
          <w:lang w:val="en-US" w:eastAsia="zh-CN"/>
        </w:rPr>
        <w:t>安全警示标志</w:t>
      </w:r>
      <w:r>
        <w:rPr>
          <w:rFonts w:hint="eastAsia" w:ascii="仿宋_GB2312" w:hAnsi="仿宋_GB2312" w:eastAsia="仿宋_GB2312" w:cs="仿宋_GB2312"/>
          <w:color w:val="auto"/>
          <w:sz w:val="32"/>
          <w:szCs w:val="32"/>
          <w:highlight w:val="none"/>
        </w:rPr>
        <w:t>及消防</w:t>
      </w:r>
      <w:r>
        <w:rPr>
          <w:rFonts w:hint="eastAsia" w:ascii="仿宋_GB2312" w:hAnsi="仿宋_GB2312" w:eastAsia="仿宋_GB2312" w:cs="仿宋_GB2312"/>
          <w:color w:val="auto"/>
          <w:sz w:val="32"/>
          <w:szCs w:val="32"/>
          <w:highlight w:val="none"/>
          <w:lang w:val="en-US" w:eastAsia="zh-CN"/>
        </w:rPr>
        <w:t>车</w:t>
      </w:r>
      <w:r>
        <w:rPr>
          <w:rFonts w:hint="eastAsia" w:ascii="仿宋_GB2312" w:hAnsi="仿宋_GB2312" w:eastAsia="仿宋_GB2312" w:cs="仿宋_GB2312"/>
          <w:color w:val="auto"/>
          <w:sz w:val="32"/>
          <w:szCs w:val="32"/>
          <w:highlight w:val="none"/>
        </w:rPr>
        <w:t>通道。</w:t>
      </w:r>
    </w:p>
    <w:p w14:paraId="74872DB4">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二、安全生产专项工作</w:t>
      </w:r>
    </w:p>
    <w:p w14:paraId="168AFD49">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乙方应当教育督促</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从业人员严格执行</w:t>
      </w:r>
      <w:r>
        <w:rPr>
          <w:rFonts w:hint="eastAsia" w:ascii="仿宋_GB2312" w:hAnsi="仿宋_GB2312" w:eastAsia="仿宋_GB2312" w:cs="仿宋_GB2312"/>
          <w:color w:val="auto"/>
          <w:sz w:val="32"/>
          <w:szCs w:val="32"/>
          <w:highlight w:val="none"/>
          <w:lang w:val="en-US" w:eastAsia="zh-CN"/>
        </w:rPr>
        <w:t>本单位</w:t>
      </w:r>
      <w:r>
        <w:rPr>
          <w:rFonts w:hint="eastAsia" w:ascii="仿宋_GB2312" w:hAnsi="仿宋_GB2312" w:eastAsia="仿宋_GB2312" w:cs="仿宋_GB2312"/>
          <w:color w:val="auto"/>
          <w:sz w:val="32"/>
          <w:szCs w:val="32"/>
          <w:highlight w:val="none"/>
        </w:rPr>
        <w:t>安全生产规章制度和安全操作规程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并向从业人员如实告知作业场所和工作岗位存在的危险因素、防范措施以及事故应急措施。</w:t>
      </w:r>
    </w:p>
    <w:p w14:paraId="6D8674F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乙方应当关注</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从业人员的生理、心理状况和行为习惯，加强对从业人员的心理疏导、精神慰藉，严格落实岗位安全生产责任制，防范</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从业人员行为异常导致事故发生。</w:t>
      </w:r>
    </w:p>
    <w:p w14:paraId="7CB1E1A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从业人员进行</w:t>
      </w:r>
      <w:r>
        <w:rPr>
          <w:rFonts w:hint="eastAsia" w:ascii="仿宋_GB2312" w:hAnsi="仿宋_GB2312" w:eastAsia="仿宋_GB2312" w:cs="仿宋_GB2312"/>
          <w:color w:val="auto"/>
          <w:sz w:val="32"/>
          <w:szCs w:val="32"/>
          <w:highlight w:val="none"/>
          <w:lang w:val="en-US" w:eastAsia="zh-CN"/>
        </w:rPr>
        <w:t>经常性</w:t>
      </w:r>
      <w:r>
        <w:rPr>
          <w:rFonts w:hint="eastAsia" w:ascii="仿宋_GB2312" w:hAnsi="仿宋_GB2312" w:eastAsia="仿宋_GB2312" w:cs="仿宋_GB2312"/>
          <w:color w:val="auto"/>
          <w:sz w:val="32"/>
          <w:szCs w:val="32"/>
          <w:highlight w:val="none"/>
        </w:rPr>
        <w:t>安全生产教育和培训，保证</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w:t>
      </w:r>
      <w:r>
        <w:rPr>
          <w:rFonts w:hint="eastAsia" w:ascii="仿宋_GB2312" w:hAnsi="仿宋_GB2312" w:eastAsia="仿宋_GB2312" w:cs="仿宋_GB2312"/>
          <w:color w:val="auto"/>
          <w:sz w:val="32"/>
          <w:szCs w:val="32"/>
          <w:highlight w:val="none"/>
          <w:lang w:val="en-US" w:eastAsia="zh-CN"/>
        </w:rPr>
        <w:t>掌握</w:t>
      </w:r>
      <w:r>
        <w:rPr>
          <w:rFonts w:hint="eastAsia" w:ascii="仿宋_GB2312" w:hAnsi="仿宋_GB2312" w:eastAsia="仿宋_GB2312" w:cs="仿宋_GB2312"/>
          <w:color w:val="auto"/>
          <w:sz w:val="32"/>
          <w:szCs w:val="32"/>
          <w:highlight w:val="none"/>
        </w:rPr>
        <w:t>必要的安全生产知识，熟悉</w:t>
      </w:r>
      <w:r>
        <w:rPr>
          <w:rFonts w:hint="eastAsia" w:ascii="仿宋_GB2312" w:hAnsi="仿宋_GB2312" w:eastAsia="仿宋_GB2312" w:cs="仿宋_GB2312"/>
          <w:color w:val="auto"/>
          <w:sz w:val="32"/>
          <w:szCs w:val="32"/>
          <w:highlight w:val="none"/>
          <w:lang w:val="en-US" w:eastAsia="zh-CN"/>
        </w:rPr>
        <w:t>本单位</w:t>
      </w:r>
      <w:r>
        <w:rPr>
          <w:rFonts w:hint="eastAsia" w:ascii="仿宋_GB2312" w:hAnsi="仿宋_GB2312" w:eastAsia="仿宋_GB2312" w:cs="仿宋_GB2312"/>
          <w:color w:val="auto"/>
          <w:sz w:val="32"/>
          <w:szCs w:val="32"/>
          <w:highlight w:val="none"/>
        </w:rPr>
        <w:t>安全生产规章制度和安全操作规程，掌握本岗位的安全操作技能，了解事故应急处理措施，知悉</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从业人员自身在安全生产方面的权利和义务。未经安全生产教育和培训合格的从业人员，不得上岗作业。</w:t>
      </w:r>
    </w:p>
    <w:p w14:paraId="37E26B54">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乙方必须为</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从业人员提供符合国家标准或行业标准的劳动防护用品，并监督、教育</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从业人员按照使用规则佩戴</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使用。</w:t>
      </w:r>
    </w:p>
    <w:p w14:paraId="0B9BB658">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乙方应当加强危险作业安全监管，针对起重作业、临时用电作业、高处作业、动火作业、有限空间作业等，应</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rPr>
        <w:t>落实现场监护人</w:t>
      </w:r>
      <w:r>
        <w:rPr>
          <w:rFonts w:hint="eastAsia" w:ascii="仿宋_GB2312" w:hAnsi="仿宋_GB2312" w:eastAsia="仿宋_GB2312" w:cs="仿宋_GB2312"/>
          <w:color w:val="auto"/>
          <w:sz w:val="32"/>
          <w:szCs w:val="32"/>
          <w:highlight w:val="none"/>
          <w:lang w:val="en-US" w:eastAsia="zh-CN"/>
        </w:rPr>
        <w:t>要求及</w:t>
      </w:r>
      <w:r>
        <w:rPr>
          <w:rFonts w:hint="eastAsia" w:ascii="仿宋_GB2312" w:hAnsi="仿宋_GB2312" w:eastAsia="仿宋_GB2312" w:cs="仿宋_GB2312"/>
          <w:color w:val="auto"/>
          <w:sz w:val="32"/>
          <w:szCs w:val="32"/>
          <w:highlight w:val="none"/>
        </w:rPr>
        <w:t>相应安全措施。</w:t>
      </w:r>
      <w:r>
        <w:rPr>
          <w:rFonts w:hint="eastAsia" w:ascii="仿宋_GB2312" w:hAnsi="仿宋_GB2312" w:eastAsia="仿宋_GB2312" w:cs="仿宋_GB2312"/>
          <w:color w:val="auto"/>
          <w:sz w:val="32"/>
          <w:szCs w:val="32"/>
          <w:highlight w:val="none"/>
          <w:lang w:val="en-US" w:eastAsia="zh-CN"/>
        </w:rPr>
        <w:t>特种</w:t>
      </w:r>
      <w:r>
        <w:rPr>
          <w:rFonts w:hint="eastAsia" w:ascii="仿宋_GB2312" w:hAnsi="仿宋_GB2312" w:eastAsia="仿宋_GB2312" w:cs="仿宋_GB2312"/>
          <w:color w:val="auto"/>
          <w:sz w:val="32"/>
          <w:szCs w:val="32"/>
          <w:highlight w:val="none"/>
        </w:rPr>
        <w:t>作业人员应当持有《特种作业操作证》，并遵守</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安全规定。</w:t>
      </w:r>
    </w:p>
    <w:p w14:paraId="7A4A6C46">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乙方应当在有较大危险因素的生产经营场所和有关设施、设备上，设置明显的安全警示标志。必须对安全设备进行经常性维护</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保养，并定期检测，保证</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正常运转。维护、保养、检测应当作好记录，并由有关人员签字。</w:t>
      </w:r>
    </w:p>
    <w:p w14:paraId="6DFDFC75">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、隐患排查治理</w:t>
      </w:r>
    </w:p>
    <w:p w14:paraId="50D9B497">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乙方应当根据本单位的生产经营特点，对安全生产状况进行经常性检查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对检查中发现的安全问题，应当立即处理。检查及处理情况应当如实记录在案。</w:t>
      </w:r>
    </w:p>
    <w:p w14:paraId="17B50A8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乙方应当参与、支持</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配合甲方的</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lang w:val="en-US" w:eastAsia="zh-CN"/>
        </w:rPr>
        <w:t>消防安全、环保及职业健康管理</w:t>
      </w:r>
      <w:r>
        <w:rPr>
          <w:rFonts w:hint="eastAsia" w:ascii="仿宋_GB2312" w:hAnsi="仿宋_GB2312" w:eastAsia="仿宋_GB2312" w:cs="仿宋_GB2312"/>
          <w:color w:val="auto"/>
          <w:sz w:val="32"/>
          <w:szCs w:val="32"/>
          <w:highlight w:val="none"/>
        </w:rPr>
        <w:t>工作，接受并服从甲方及有关行政主管部门的</w:t>
      </w:r>
      <w:r>
        <w:rPr>
          <w:rFonts w:hint="eastAsia" w:ascii="仿宋_GB2312" w:hAnsi="仿宋_GB2312" w:eastAsia="仿宋_GB2312" w:cs="仿宋_GB2312"/>
          <w:color w:val="auto"/>
          <w:sz w:val="32"/>
          <w:szCs w:val="32"/>
          <w:highlight w:val="none"/>
          <w:lang w:val="en-US" w:eastAsia="zh-CN"/>
        </w:rPr>
        <w:t>监督</w:t>
      </w:r>
      <w:r>
        <w:rPr>
          <w:rFonts w:hint="eastAsia" w:ascii="仿宋_GB2312" w:hAnsi="仿宋_GB2312" w:eastAsia="仿宋_GB2312" w:cs="仿宋_GB2312"/>
          <w:color w:val="auto"/>
          <w:sz w:val="32"/>
          <w:szCs w:val="32"/>
          <w:highlight w:val="none"/>
        </w:rPr>
        <w:t>检查工作，对检查中</w:t>
      </w:r>
      <w:r>
        <w:rPr>
          <w:rFonts w:hint="eastAsia" w:ascii="仿宋_GB2312" w:hAnsi="仿宋_GB2312" w:eastAsia="仿宋_GB2312" w:cs="仿宋_GB2312"/>
          <w:color w:val="auto"/>
          <w:sz w:val="32"/>
          <w:szCs w:val="32"/>
          <w:highlight w:val="none"/>
          <w:lang w:val="en-US" w:eastAsia="zh-CN"/>
        </w:rPr>
        <w:t>发现</w:t>
      </w:r>
      <w:r>
        <w:rPr>
          <w:rFonts w:hint="eastAsia" w:ascii="仿宋_GB2312" w:hAnsi="仿宋_GB2312" w:eastAsia="仿宋_GB2312" w:cs="仿宋_GB2312"/>
          <w:color w:val="auto"/>
          <w:sz w:val="32"/>
          <w:szCs w:val="32"/>
          <w:highlight w:val="none"/>
        </w:rPr>
        <w:t>的安全隐患，在规定期限内及时进行整改。</w:t>
      </w:r>
    </w:p>
    <w:p w14:paraId="080A3172">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应急救援和</w:t>
      </w:r>
      <w:r>
        <w:rPr>
          <w:rFonts w:hint="eastAsia" w:ascii="仿宋_GB2312" w:hAnsi="仿宋_GB2312" w:eastAsia="仿宋_GB2312" w:cs="仿宋_GB2312"/>
          <w:b/>
          <w:bCs/>
          <w:color w:val="auto"/>
          <w:sz w:val="32"/>
          <w:szCs w:val="32"/>
          <w:highlight w:val="none"/>
        </w:rPr>
        <w:t>事故处理</w:t>
      </w:r>
    </w:p>
    <w:p w14:paraId="3530A05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）在承租区域内发生</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lang w:eastAsia="zh-CN"/>
        </w:rPr>
        <w:t>安全事故，</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主要负责人应当立即组织抢救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抢险并</w:t>
      </w:r>
      <w:r>
        <w:rPr>
          <w:rFonts w:hint="eastAsia" w:ascii="仿宋_GB2312" w:hAnsi="仿宋_GB2312" w:eastAsia="仿宋_GB2312" w:cs="仿宋_GB2312"/>
          <w:color w:val="auto"/>
          <w:sz w:val="32"/>
          <w:szCs w:val="32"/>
          <w:highlight w:val="none"/>
          <w:lang w:eastAsia="zh-CN"/>
        </w:rPr>
        <w:t>向甲方报告，积极协助有关部门进行调查，迟报或隐瞒不报的，乙方应承担全部责任。</w:t>
      </w:r>
    </w:p>
    <w:p w14:paraId="7BA44CA6">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乙方应当积极配合甲方及安全生产监督管理部门进行的事故调查处理。</w:t>
      </w:r>
      <w:r>
        <w:rPr>
          <w:rFonts w:hint="eastAsia" w:ascii="仿宋_GB2312" w:hAnsi="仿宋_GB2312" w:eastAsia="仿宋_GB2312" w:cs="仿宋_GB2312"/>
          <w:color w:val="auto"/>
          <w:sz w:val="32"/>
          <w:szCs w:val="32"/>
          <w:highlight w:val="none"/>
          <w:lang w:val="en-US" w:eastAsia="zh-CN"/>
        </w:rPr>
        <w:t>事故调查处理期间，乙方不得擅离职守。</w:t>
      </w:r>
    </w:p>
    <w:p w14:paraId="0174BCFD">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安全生产</w:t>
      </w:r>
      <w:r>
        <w:rPr>
          <w:rFonts w:hint="eastAsia" w:ascii="仿宋_GB2312" w:hAnsi="仿宋_GB2312" w:eastAsia="仿宋_GB2312" w:cs="仿宋_GB2312"/>
          <w:b/>
          <w:bCs/>
          <w:color w:val="auto"/>
          <w:sz w:val="32"/>
          <w:szCs w:val="32"/>
          <w:highlight w:val="none"/>
        </w:rPr>
        <w:t>生产目标</w:t>
      </w:r>
    </w:p>
    <w:p w14:paraId="58CED486">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管理协议书</w:t>
      </w:r>
      <w:r>
        <w:rPr>
          <w:rFonts w:hint="eastAsia" w:ascii="仿宋_GB2312" w:hAnsi="仿宋_GB2312" w:eastAsia="仿宋_GB2312" w:cs="仿宋_GB2312"/>
          <w:color w:val="auto"/>
          <w:sz w:val="32"/>
          <w:szCs w:val="32"/>
          <w:highlight w:val="none"/>
        </w:rPr>
        <w:t>签订有效期内，乙方不发生一般及以上安全生产、消防</w:t>
      </w:r>
      <w:r>
        <w:rPr>
          <w:rFonts w:hint="eastAsia" w:ascii="仿宋_GB2312" w:hAnsi="仿宋_GB2312" w:eastAsia="仿宋_GB2312" w:cs="仿宋_GB2312"/>
          <w:color w:val="auto"/>
          <w:sz w:val="32"/>
          <w:szCs w:val="32"/>
          <w:highlight w:val="none"/>
          <w:lang w:val="en-US" w:eastAsia="zh-CN"/>
        </w:rPr>
        <w:t>安全</w:t>
      </w:r>
      <w:r>
        <w:rPr>
          <w:rFonts w:hint="eastAsia" w:ascii="仿宋_GB2312" w:hAnsi="仿宋_GB2312" w:eastAsia="仿宋_GB2312" w:cs="仿宋_GB2312"/>
          <w:color w:val="auto"/>
          <w:sz w:val="32"/>
          <w:szCs w:val="32"/>
          <w:highlight w:val="none"/>
        </w:rPr>
        <w:t>、环保</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职业病危害事故，不发生造成严重不良社会影响事故。</w:t>
      </w:r>
    </w:p>
    <w:p w14:paraId="73326639">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第三条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法律责任</w:t>
      </w:r>
    </w:p>
    <w:p w14:paraId="3A7A192A">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对违反《中华人民共和国安全生产法》《中华人民共和国消防法》等有关安全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消防安全、</w:t>
      </w:r>
      <w:r>
        <w:rPr>
          <w:rFonts w:hint="eastAsia" w:ascii="仿宋_GB2312" w:hAnsi="仿宋_GB2312" w:eastAsia="仿宋_GB2312" w:cs="仿宋_GB2312"/>
          <w:color w:val="auto"/>
          <w:sz w:val="32"/>
          <w:szCs w:val="32"/>
          <w:highlight w:val="none"/>
        </w:rPr>
        <w:t>环保、职业健康</w:t>
      </w:r>
      <w:r>
        <w:rPr>
          <w:rFonts w:hint="eastAsia" w:ascii="仿宋_GB2312" w:hAnsi="仿宋_GB2312" w:eastAsia="仿宋_GB2312" w:cs="仿宋_GB2312"/>
          <w:color w:val="auto"/>
          <w:sz w:val="32"/>
          <w:szCs w:val="32"/>
          <w:highlight w:val="none"/>
          <w:lang w:val="en-US" w:eastAsia="zh-CN"/>
        </w:rPr>
        <w:t>方面</w:t>
      </w:r>
      <w:r>
        <w:rPr>
          <w:rFonts w:hint="eastAsia" w:ascii="仿宋_GB2312" w:hAnsi="仿宋_GB2312" w:eastAsia="仿宋_GB2312" w:cs="仿宋_GB2312"/>
          <w:color w:val="auto"/>
          <w:sz w:val="32"/>
          <w:szCs w:val="32"/>
          <w:highlight w:val="none"/>
        </w:rPr>
        <w:t>法律法规和本协议约定内容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造成</w:t>
      </w:r>
      <w:r>
        <w:rPr>
          <w:rFonts w:hint="eastAsia" w:ascii="仿宋_GB2312" w:hAnsi="仿宋_GB2312" w:eastAsia="仿宋_GB2312" w:cs="仿宋_GB2312"/>
          <w:color w:val="auto"/>
          <w:sz w:val="32"/>
          <w:szCs w:val="32"/>
          <w:highlight w:val="none"/>
          <w:lang w:val="en-US" w:eastAsia="zh-CN"/>
        </w:rPr>
        <w:t>生产安全</w:t>
      </w:r>
      <w:r>
        <w:rPr>
          <w:rFonts w:hint="eastAsia" w:ascii="仿宋_GB2312" w:hAnsi="仿宋_GB2312" w:eastAsia="仿宋_GB2312" w:cs="仿宋_GB2312"/>
          <w:color w:val="auto"/>
          <w:sz w:val="32"/>
          <w:szCs w:val="32"/>
          <w:highlight w:val="none"/>
        </w:rPr>
        <w:t>事故、人员伤亡、</w:t>
      </w:r>
      <w:r>
        <w:rPr>
          <w:rFonts w:hint="eastAsia" w:ascii="仿宋_GB2312" w:hAnsi="仿宋_GB2312" w:eastAsia="仿宋_GB2312" w:cs="仿宋_GB2312"/>
          <w:color w:val="auto"/>
          <w:sz w:val="32"/>
          <w:szCs w:val="32"/>
          <w:highlight w:val="none"/>
          <w:lang w:val="en-US" w:eastAsia="zh-CN"/>
        </w:rPr>
        <w:t>财产或第三方经济财产损失的，</w:t>
      </w:r>
      <w:r>
        <w:rPr>
          <w:rFonts w:hint="eastAsia" w:ascii="仿宋_GB2312" w:hAnsi="仿宋_GB2312" w:eastAsia="仿宋_GB2312" w:cs="仿宋_GB2312"/>
          <w:color w:val="auto"/>
          <w:sz w:val="32"/>
          <w:szCs w:val="32"/>
          <w:highlight w:val="none"/>
        </w:rPr>
        <w:t>除依法追究有关责任人员的法律责任外，</w:t>
      </w:r>
      <w:r>
        <w:rPr>
          <w:rFonts w:hint="eastAsia" w:ascii="仿宋_GB2312" w:hAnsi="仿宋_GB2312" w:eastAsia="仿宋_GB2312" w:cs="仿宋_GB2312"/>
          <w:color w:val="auto"/>
          <w:sz w:val="32"/>
          <w:szCs w:val="32"/>
          <w:highlight w:val="none"/>
          <w:lang w:eastAsia="zh-CN"/>
        </w:rPr>
        <w:t>责任方</w:t>
      </w:r>
      <w:r>
        <w:rPr>
          <w:rFonts w:hint="eastAsia" w:ascii="仿宋_GB2312" w:hAnsi="仿宋_GB2312" w:eastAsia="仿宋_GB2312" w:cs="仿宋_GB2312"/>
          <w:color w:val="auto"/>
          <w:sz w:val="32"/>
          <w:szCs w:val="32"/>
          <w:highlight w:val="none"/>
        </w:rPr>
        <w:t>独立承担造成的经济赔偿责任和社会不良影响</w:t>
      </w:r>
      <w:r>
        <w:rPr>
          <w:rFonts w:hint="eastAsia" w:ascii="仿宋_GB2312" w:hAnsi="仿宋_GB2312" w:eastAsia="仿宋_GB2312" w:cs="仿宋_GB2312"/>
          <w:color w:val="auto"/>
          <w:sz w:val="32"/>
          <w:szCs w:val="32"/>
          <w:highlight w:val="none"/>
          <w:lang w:eastAsia="zh-CN"/>
        </w:rPr>
        <w:t>，另一方因此被索赔或处罚的，有权向责任方追偿。</w:t>
      </w:r>
    </w:p>
    <w:p w14:paraId="4C865430">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第四条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附则</w:t>
      </w:r>
    </w:p>
    <w:p w14:paraId="0B089B6B">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本协议一式贰份，甲乙双方各执一份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经协议双方签字、盖章后生效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作为《</w:t>
      </w:r>
      <w:r>
        <w:rPr>
          <w:rFonts w:hint="eastAsia" w:ascii="仿宋_GB2312" w:hAnsi="仿宋_GB2312" w:eastAsia="仿宋_GB2312" w:cs="仿宋_GB2312"/>
          <w:color w:val="auto"/>
          <w:sz w:val="32"/>
          <w:szCs w:val="32"/>
          <w:highlight w:val="none"/>
          <w:lang w:val="en-US" w:eastAsia="zh-CN"/>
        </w:rPr>
        <w:t>租赁合同</w:t>
      </w:r>
      <w:r>
        <w:rPr>
          <w:rFonts w:hint="eastAsia" w:ascii="仿宋_GB2312" w:hAnsi="仿宋_GB2312" w:eastAsia="仿宋_GB2312" w:cs="仿宋_GB2312"/>
          <w:color w:val="auto"/>
          <w:sz w:val="32"/>
          <w:szCs w:val="32"/>
          <w:highlight w:val="none"/>
        </w:rPr>
        <w:t>》的附件，是《</w:t>
      </w:r>
      <w:r>
        <w:rPr>
          <w:rFonts w:hint="eastAsia" w:ascii="仿宋_GB2312" w:hAnsi="仿宋_GB2312" w:eastAsia="仿宋_GB2312" w:cs="仿宋_GB2312"/>
          <w:color w:val="auto"/>
          <w:sz w:val="32"/>
          <w:szCs w:val="32"/>
          <w:highlight w:val="none"/>
          <w:lang w:val="en-US" w:eastAsia="zh-CN"/>
        </w:rPr>
        <w:t>租赁合同</w:t>
      </w:r>
      <w:r>
        <w:rPr>
          <w:rFonts w:hint="eastAsia" w:ascii="仿宋_GB2312" w:hAnsi="仿宋_GB2312" w:eastAsia="仿宋_GB2312" w:cs="仿宋_GB2312"/>
          <w:color w:val="auto"/>
          <w:sz w:val="32"/>
          <w:szCs w:val="32"/>
          <w:highlight w:val="none"/>
        </w:rPr>
        <w:t>》的有效组成部分，具</w:t>
      </w:r>
      <w:r>
        <w:rPr>
          <w:rFonts w:hint="eastAsia" w:ascii="仿宋_GB2312" w:hAnsi="仿宋_GB2312" w:eastAsia="仿宋_GB2312" w:cs="仿宋_GB2312"/>
          <w:color w:val="auto"/>
          <w:sz w:val="32"/>
          <w:szCs w:val="32"/>
          <w:highlight w:val="none"/>
          <w:lang w:val="en-US" w:eastAsia="zh-CN"/>
        </w:rPr>
        <w:t>备</w:t>
      </w:r>
      <w:r>
        <w:rPr>
          <w:rFonts w:hint="eastAsia" w:ascii="仿宋_GB2312" w:hAnsi="仿宋_GB2312" w:eastAsia="仿宋_GB2312" w:cs="仿宋_GB2312"/>
          <w:color w:val="auto"/>
          <w:sz w:val="32"/>
          <w:szCs w:val="32"/>
          <w:highlight w:val="none"/>
        </w:rPr>
        <w:t>同等法律效力。本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双方签字（盖章）之日起执行，双方负责人如有变动，继任者继续履行责任。</w:t>
      </w:r>
    </w:p>
    <w:p w14:paraId="3F3E269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本协议</w:t>
      </w:r>
      <w:r>
        <w:rPr>
          <w:rFonts w:hint="eastAsia" w:ascii="仿宋_GB2312" w:hAnsi="仿宋_GB2312" w:eastAsia="仿宋_GB2312" w:cs="仿宋_GB2312"/>
          <w:color w:val="auto"/>
          <w:sz w:val="32"/>
          <w:szCs w:val="32"/>
          <w:highlight w:val="none"/>
        </w:rPr>
        <w:t>有效期</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lang w:val="en-US" w:eastAsia="zh-CN"/>
        </w:rPr>
        <w:t xml:space="preserve">    年  月  日起至    年  月  日止</w:t>
      </w:r>
      <w:r>
        <w:rPr>
          <w:rFonts w:hint="eastAsia" w:ascii="仿宋_GB2312" w:hAnsi="仿宋_GB2312" w:eastAsia="仿宋_GB2312" w:cs="仿宋_GB2312"/>
          <w:color w:val="auto"/>
          <w:sz w:val="32"/>
          <w:szCs w:val="32"/>
          <w:highlight w:val="none"/>
        </w:rPr>
        <w:t>。</w:t>
      </w:r>
    </w:p>
    <w:p w14:paraId="1F8FEB9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p>
    <w:p w14:paraId="0573A8BA">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以下无正文</w:t>
      </w:r>
      <w:r>
        <w:rPr>
          <w:rFonts w:hint="eastAsia" w:ascii="仿宋_GB2312" w:hAnsi="仿宋_GB2312" w:eastAsia="仿宋_GB2312" w:cs="仿宋_GB2312"/>
          <w:color w:val="auto"/>
          <w:sz w:val="32"/>
          <w:szCs w:val="32"/>
          <w:highlight w:val="none"/>
          <w:lang w:eastAsia="zh-CN"/>
        </w:rPr>
        <w:t>）</w:t>
      </w:r>
    </w:p>
    <w:p w14:paraId="0DA993B0">
      <w:pPr>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 xml:space="preserve"> 南平市武夷科创运营管理</w:t>
      </w:r>
      <w:r>
        <w:rPr>
          <w:rFonts w:hint="eastAsia" w:ascii="仿宋_GB2312" w:hAnsi="仿宋_GB2312" w:eastAsia="仿宋_GB2312" w:cs="仿宋_GB2312"/>
          <w:color w:val="auto"/>
          <w:sz w:val="32"/>
          <w:szCs w:val="32"/>
          <w:highlight w:val="none"/>
          <w:lang w:eastAsia="zh-CN"/>
        </w:rPr>
        <w:t>有限公司</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
    <w:p w14:paraId="73B4AC8D">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（盖章）   </w:t>
      </w:r>
      <w:r>
        <w:rPr>
          <w:rFonts w:hint="eastAsia" w:ascii="仿宋_GB2312" w:hAnsi="仿宋_GB2312" w:eastAsia="仿宋_GB2312" w:cs="仿宋_GB2312"/>
          <w:color w:val="auto"/>
          <w:sz w:val="32"/>
          <w:szCs w:val="32"/>
          <w:highlight w:val="none"/>
          <w:lang w:val="en-US" w:eastAsia="zh-CN"/>
        </w:rPr>
        <w:t xml:space="preserve">                              </w:t>
      </w:r>
    </w:p>
    <w:p w14:paraId="44006932">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主要负责</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7D053839">
      <w:pPr>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eastAsia" w:ascii="仿宋_GB2312" w:hAnsi="仿宋_GB2312" w:eastAsia="仿宋_GB2312" w:cs="仿宋_GB2312"/>
          <w:color w:val="auto"/>
          <w:sz w:val="32"/>
          <w:szCs w:val="32"/>
          <w:highlight w:val="none"/>
        </w:rPr>
      </w:pPr>
    </w:p>
    <w:p w14:paraId="115F2309">
      <w:pPr>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eastAsia" w:ascii="仿宋_GB2312" w:hAnsi="仿宋_GB2312" w:eastAsia="仿宋_GB2312" w:cs="仿宋_GB2312"/>
          <w:color w:val="auto"/>
          <w:sz w:val="32"/>
          <w:szCs w:val="32"/>
          <w:highlight w:val="none"/>
        </w:rPr>
      </w:pPr>
    </w:p>
    <w:p w14:paraId="178BC015">
      <w:pPr>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p>
    <w:p w14:paraId="1151CB39">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（盖章）</w:t>
      </w:r>
    </w:p>
    <w:p w14:paraId="28350C44">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主要负责</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2F2E73A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p>
    <w:p w14:paraId="33DB142B">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p>
    <w:p w14:paraId="1CD934F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签订时间：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6A1296D4">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5C6CBF36">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4D55155D">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7450FC3A">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44EC4852">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249D6AFE">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10A7C176">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721D6058">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rPr>
      </w:pPr>
    </w:p>
    <w:p w14:paraId="5D53B184">
      <w:pPr>
        <w:jc w:val="both"/>
        <w:rPr>
          <w:rFonts w:hint="eastAsia" w:ascii="仿宋_GB2312" w:hAnsi="仿宋_GB2312" w:eastAsia="仿宋_GB2312" w:cs="仿宋_GB2312"/>
          <w:color w:val="auto"/>
          <w:sz w:val="28"/>
          <w:szCs w:val="28"/>
          <w:highlight w:val="none"/>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F987">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57153E">
                          <w:pPr>
                            <w:pStyle w:val="4"/>
                            <w:jc w:val="right"/>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A57153E">
                    <w:pPr>
                      <w:pStyle w:val="4"/>
                      <w:jc w:val="right"/>
                    </w:pPr>
                  </w:p>
                </w:txbxContent>
              </v:textbox>
            </v:shape>
          </w:pict>
        </mc:Fallback>
      </mc:AlternateContent>
    </w:r>
  </w:p>
  <w:p w14:paraId="2518F4BD">
    <w:pPr>
      <w:pStyle w:val="4"/>
      <w:tabs>
        <w:tab w:val="left" w:pos="1807"/>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623AC">
    <w:pPr>
      <w:pStyle w:val="4"/>
    </w:pPr>
    <w:r>
      <w:rPr>
        <w:rFonts w:hint="default"/>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43BF52BF">
                          <w:pPr>
                            <w:pStyle w:val="4"/>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1u5d9AAAAACAQAADwAAAAAA&#10;AAABACAAAAAiAAAAZHJzL2Rvd25yZXYueG1sUEsBAhQAFAAAAAgAh07iQBIqMIfiAQAAuwMAAA4A&#10;AAAAAAAAAQAgAAAAHwEAAGRycy9lMm9Eb2MueG1sUEsFBgAAAAAGAAYAWQEAAHMFAAAAAA==&#10;">
              <v:fill on="f" focussize="0,0"/>
              <v:stroke on="f"/>
              <v:imagedata o:title=""/>
              <o:lock v:ext="edit" aspectratio="f"/>
              <v:textbox inset="0mm,0mm,0mm,0mm" style="mso-fit-shape-to-text:t;">
                <w:txbxContent>
                  <w:p w14:paraId="43BF52BF">
                    <w:pPr>
                      <w:pStyle w:val="4"/>
                    </w:pPr>
                    <w:r>
                      <w:fldChar w:fldCharType="begin"/>
                    </w:r>
                    <w:r>
                      <w:instrText xml:space="preserve"> PAGE  \* MERGEFORMAT </w:instrText>
                    </w:r>
                    <w:r>
                      <w:fldChar w:fldCharType="separate"/>
                    </w:r>
                    <w:r>
                      <w:t>- 1 -</w:t>
                    </w:r>
                    <w:r>
                      <w:fldChar w:fldCharType="end"/>
                    </w:r>
                  </w:p>
                </w:txbxContent>
              </v:textbox>
            </v:shape>
          </w:pict>
        </mc:Fallback>
      </mc:AlternateContent>
    </w:r>
    <w:r>
      <w:rPr>
        <w:rFonts w:hint="default"/>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a:noFill/>
                      </a:ln>
                    </wps:spPr>
                    <wps:txbx>
                      <w:txbxContent>
                        <w:p w14:paraId="458F55C3">
                          <w:pPr>
                            <w:pStyle w:val="4"/>
                          </w:pP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Idi3EzwAAAAIBAAAPAAAAAAAAAAEAIAAAACIAAABkcnMvZG93bnJl&#10;di54bWxQSwECFAAUAAAACACHTuJAs78+980BAACWAwAADgAAAAAAAAABACAAAAAeAQAAZHJzL2Uy&#10;b0RvYy54bWxQSwUGAAAAAAYABgBZAQAAXQUAAAAA&#10;">
              <v:fill on="f" focussize="0,0"/>
              <v:stroke on="f"/>
              <v:imagedata o:title=""/>
              <o:lock v:ext="edit" aspectratio="f"/>
              <v:textbox inset="0mm,0mm,0mm,0mm" style="mso-fit-shape-to-text:t;">
                <w:txbxContent>
                  <w:p w14:paraId="458F55C3">
                    <w:pPr>
                      <w:pStyle w:val="4"/>
                    </w:pPr>
                    <w:r>
                      <w:rPr>
                        <w:rFonts w:hint="eastAsia"/>
                      </w:rPr>
                      <w:t xml:space="preserve">    </w:t>
                    </w:r>
                  </w:p>
                </w:txbxContent>
              </v:textbox>
            </v:shape>
          </w:pict>
        </mc:Fallback>
      </mc:AlternateContent>
    </w:r>
    <w:r>
      <w:rPr>
        <w:rFonts w:hint="eastAsia"/>
        <w:lang w:val="en-US" w:eastAsia="zh-CN"/>
      </w:rPr>
      <w:t xml:space="preserve">                         </w:t>
    </w:r>
    <w:r>
      <w:rPr>
        <w:rFonts w:hint="eastAsia"/>
      </w:rPr>
      <w:t xml:space="preserve">                 第    页  共</w:t>
    </w:r>
    <w:r>
      <w:rPr>
        <w:rFonts w:hint="eastAsia"/>
        <w:lang w:val="en-US" w:eastAsia="zh-CN"/>
      </w:rPr>
      <w:t>11</w:t>
    </w:r>
    <w:r>
      <w:rPr>
        <w:rFonts w:hint="eastAsia"/>
      </w:rPr>
      <w:t>页            房租租赁合同版本号1.0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6C9B5">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FCBB9"/>
    <w:multiLevelType w:val="singleLevel"/>
    <w:tmpl w:val="B3EFCBB9"/>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NjBiZjlmZWVlOTNmNTVjZDA4YjUxZTZlNTBhYTYifQ=="/>
  </w:docVars>
  <w:rsids>
    <w:rsidRoot w:val="002B5CBD"/>
    <w:rsid w:val="000936E9"/>
    <w:rsid w:val="001C6B8F"/>
    <w:rsid w:val="002B5CBD"/>
    <w:rsid w:val="003000AF"/>
    <w:rsid w:val="015D585D"/>
    <w:rsid w:val="01835F7C"/>
    <w:rsid w:val="03472BF2"/>
    <w:rsid w:val="06253E46"/>
    <w:rsid w:val="063E5416"/>
    <w:rsid w:val="077A3CEC"/>
    <w:rsid w:val="08093163"/>
    <w:rsid w:val="097F55EA"/>
    <w:rsid w:val="0AC21846"/>
    <w:rsid w:val="0B0D6493"/>
    <w:rsid w:val="0F1C003E"/>
    <w:rsid w:val="0F6844E6"/>
    <w:rsid w:val="0F8A15EE"/>
    <w:rsid w:val="0FDD5480"/>
    <w:rsid w:val="106C0A2B"/>
    <w:rsid w:val="12665599"/>
    <w:rsid w:val="12ED6D94"/>
    <w:rsid w:val="130152C1"/>
    <w:rsid w:val="15327707"/>
    <w:rsid w:val="15595F40"/>
    <w:rsid w:val="189A71D3"/>
    <w:rsid w:val="18E832E4"/>
    <w:rsid w:val="19DB5E63"/>
    <w:rsid w:val="19EC15A1"/>
    <w:rsid w:val="19F441ED"/>
    <w:rsid w:val="1C451382"/>
    <w:rsid w:val="1D0A1EFA"/>
    <w:rsid w:val="1DA97968"/>
    <w:rsid w:val="1E2E3C90"/>
    <w:rsid w:val="21560D5F"/>
    <w:rsid w:val="22446720"/>
    <w:rsid w:val="224D24F2"/>
    <w:rsid w:val="25014684"/>
    <w:rsid w:val="26806A39"/>
    <w:rsid w:val="26F562E7"/>
    <w:rsid w:val="28C415AB"/>
    <w:rsid w:val="29DD218D"/>
    <w:rsid w:val="2A552A4F"/>
    <w:rsid w:val="2AC86999"/>
    <w:rsid w:val="2AD20998"/>
    <w:rsid w:val="2BDD4E1E"/>
    <w:rsid w:val="2C5E36C8"/>
    <w:rsid w:val="2EB062D8"/>
    <w:rsid w:val="2EF22ABA"/>
    <w:rsid w:val="33F156D8"/>
    <w:rsid w:val="350C67FF"/>
    <w:rsid w:val="36B66DBD"/>
    <w:rsid w:val="3DCC2617"/>
    <w:rsid w:val="3E4E4FAF"/>
    <w:rsid w:val="3E7F47DD"/>
    <w:rsid w:val="3E92489D"/>
    <w:rsid w:val="3FA84904"/>
    <w:rsid w:val="41A4129A"/>
    <w:rsid w:val="41B31167"/>
    <w:rsid w:val="428D51D7"/>
    <w:rsid w:val="42916708"/>
    <w:rsid w:val="431318DA"/>
    <w:rsid w:val="451D46F6"/>
    <w:rsid w:val="46481DC3"/>
    <w:rsid w:val="48B75B39"/>
    <w:rsid w:val="4D3A3BC0"/>
    <w:rsid w:val="4DF40172"/>
    <w:rsid w:val="4E511FBD"/>
    <w:rsid w:val="4E6540C5"/>
    <w:rsid w:val="4F1927E1"/>
    <w:rsid w:val="4FC25DD7"/>
    <w:rsid w:val="50EF213E"/>
    <w:rsid w:val="51293821"/>
    <w:rsid w:val="531F0042"/>
    <w:rsid w:val="54BC3325"/>
    <w:rsid w:val="55CC2709"/>
    <w:rsid w:val="56EE03C7"/>
    <w:rsid w:val="59691808"/>
    <w:rsid w:val="59926C28"/>
    <w:rsid w:val="5A263A77"/>
    <w:rsid w:val="5A430F55"/>
    <w:rsid w:val="5B4E56FD"/>
    <w:rsid w:val="5BBF772E"/>
    <w:rsid w:val="5DEF338C"/>
    <w:rsid w:val="5F1C07AD"/>
    <w:rsid w:val="5F993E84"/>
    <w:rsid w:val="60B30F76"/>
    <w:rsid w:val="657B0C15"/>
    <w:rsid w:val="66953424"/>
    <w:rsid w:val="67574E7B"/>
    <w:rsid w:val="68CA45FA"/>
    <w:rsid w:val="691C4598"/>
    <w:rsid w:val="69723E7D"/>
    <w:rsid w:val="6A521D3B"/>
    <w:rsid w:val="6B5B43CB"/>
    <w:rsid w:val="6CF622FC"/>
    <w:rsid w:val="6D3A6AAA"/>
    <w:rsid w:val="6D3B56B1"/>
    <w:rsid w:val="6DB7561C"/>
    <w:rsid w:val="6EB05C10"/>
    <w:rsid w:val="71565E30"/>
    <w:rsid w:val="716B755B"/>
    <w:rsid w:val="72F84252"/>
    <w:rsid w:val="73A11D41"/>
    <w:rsid w:val="741C5AED"/>
    <w:rsid w:val="755B5771"/>
    <w:rsid w:val="768C7FE0"/>
    <w:rsid w:val="76FA1578"/>
    <w:rsid w:val="783D6BC3"/>
    <w:rsid w:val="7A1B0A2B"/>
    <w:rsid w:val="7B180D46"/>
    <w:rsid w:val="7F1A1448"/>
    <w:rsid w:val="7F7735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5"/>
    <w:basedOn w:val="1"/>
    <w:next w:val="1"/>
    <w:semiHidden/>
    <w:qFormat/>
    <w:uiPriority w:val="99"/>
    <w:pPr>
      <w:ind w:left="1680"/>
    </w:pPr>
    <w:rPr>
      <w:rFonts w:ascii="方正小标宋简体" w:hAnsi="仿宋" w:eastAsia="方正小标宋简体" w:cs="方正小标宋简体"/>
      <w:sz w:val="32"/>
      <w:szCs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15"/>
    <w:qFormat/>
    <w:uiPriority w:val="0"/>
    <w:rPr>
      <w:rFonts w:hint="eastAsia" w:ascii="黑体" w:hAnsi="宋体" w:eastAsia="黑体"/>
      <w:color w:val="000000"/>
      <w:sz w:val="18"/>
      <w:szCs w:val="18"/>
    </w:rPr>
  </w:style>
  <w:style w:type="paragraph" w:customStyle="1" w:styleId="10">
    <w:name w:val="_Style 8"/>
    <w:unhideWhenUsed/>
    <w:qFormat/>
    <w:uiPriority w:val="99"/>
    <w:rPr>
      <w:rFonts w:ascii="Calibri" w:hAnsi="Calibri" w:eastAsia="宋体" w:cs="宋体"/>
      <w:kern w:val="2"/>
      <w:sz w:val="21"/>
      <w:szCs w:val="21"/>
      <w:lang w:val="en-US" w:eastAsia="zh-CN" w:bidi="ar-SA"/>
    </w:rPr>
  </w:style>
  <w:style w:type="paragraph" w:customStyle="1" w:styleId="11">
    <w:name w:val="td2s"/>
    <w:basedOn w:val="1"/>
    <w:qFormat/>
    <w:uiPriority w:val="0"/>
    <w:pPr>
      <w:widowControl/>
      <w:spacing w:line="240" w:lineRule="atLeast"/>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16</Pages>
  <Words>6341</Words>
  <Characters>6362</Characters>
  <Lines>24</Lines>
  <Paragraphs>6</Paragraphs>
  <TotalTime>1</TotalTime>
  <ScaleCrop>false</ScaleCrop>
  <LinksUpToDate>false</LinksUpToDate>
  <CharactersWithSpaces>6853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2022-07-29T01:39:00Z</dcterms:created>
  <dc:creator>Administrator</dc:creator>
  <cp:lastModifiedBy>可爱多</cp:lastModifiedBy>
  <cp:lastPrinted>2024-02-20T06:42:00Z</cp:lastPrinted>
  <dcterms:modified xsi:type="dcterms:W3CDTF">2025-11-20T04:01:22Z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8F1DE7CBDAB748939600CBA0E115D151_13</vt:lpwstr>
  </property>
  <property fmtid="{D5CDD505-2E9C-101B-9397-08002B2CF9AE}" pid="4" name="KSOTemplateDocerSaveRecord">
    <vt:lpwstr>eyJoZGlkIjoiMTEzMGJkN2M5OGU5ODFlMjA1NmRiYWU4M2JlNWJhMmYiLCJ1c2VySWQiOiI0NDE0NTE0NzQifQ==</vt:lpwstr>
  </property>
</Properties>
</file>