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hd w:val="clear" w:fill="FFFFFF"/>
        <w:spacing w:before="0" w:beforeAutospacing="0" w:after="120" w:afterAutospacing="0" w:line="368" w:lineRule="atLeast"/>
        <w:ind w:left="0" w:right="0" w:firstLine="0"/>
        <w:jc w:val="center"/>
        <w:rPr>
          <w:rStyle w:val="8"/>
          <w:rFonts w:hint="eastAsia" w:ascii="宋体" w:hAnsi="宋体" w:eastAsia="宋体" w:cs="宋体"/>
          <w:b/>
          <w:bCs/>
          <w:i w:val="0"/>
          <w:iCs w:val="0"/>
          <w:caps w:val="0"/>
          <w:color w:val="333333"/>
          <w:spacing w:val="0"/>
          <w:sz w:val="54"/>
          <w:szCs w:val="54"/>
          <w:shd w:val="clear" w:fill="FFFFFF"/>
          <w:lang w:val="en-US" w:eastAsia="zh-CN"/>
        </w:rPr>
      </w:pPr>
      <w:r>
        <w:rPr>
          <w:rStyle w:val="8"/>
          <w:rFonts w:hint="eastAsia" w:ascii="宋体" w:hAnsi="宋体" w:eastAsia="宋体" w:cs="宋体"/>
          <w:b/>
          <w:bCs/>
          <w:i w:val="0"/>
          <w:iCs w:val="0"/>
          <w:caps w:val="0"/>
          <w:color w:val="333333"/>
          <w:spacing w:val="0"/>
          <w:sz w:val="54"/>
          <w:szCs w:val="54"/>
          <w:shd w:val="clear" w:fill="FFFFFF"/>
        </w:rPr>
        <w:t>委托协议</w:t>
      </w:r>
      <w:r>
        <w:rPr>
          <w:rStyle w:val="8"/>
          <w:rFonts w:hint="eastAsia" w:ascii="宋体" w:hAnsi="宋体" w:eastAsia="宋体" w:cs="宋体"/>
          <w:b/>
          <w:bCs/>
          <w:i w:val="0"/>
          <w:iCs w:val="0"/>
          <w:caps w:val="0"/>
          <w:color w:val="333333"/>
          <w:spacing w:val="0"/>
          <w:sz w:val="54"/>
          <w:szCs w:val="54"/>
          <w:shd w:val="clear" w:fill="FFFFFF"/>
          <w:lang w:val="en-US" w:eastAsia="zh-CN"/>
        </w:rPr>
        <w:t>书</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30"/>
          <w:szCs w:val="30"/>
          <w:shd w:val="clear" w:fill="FFFFFF"/>
        </w:rPr>
        <w:t>甲方：</w:t>
      </w:r>
      <w:r>
        <w:rPr>
          <w:rFonts w:hint="eastAsia" w:ascii="宋体" w:hAnsi="宋体" w:eastAsia="宋体" w:cs="宋体"/>
          <w:b/>
          <w:bCs/>
          <w:i w:val="0"/>
          <w:iCs w:val="0"/>
          <w:caps w:val="0"/>
          <w:color w:val="333333"/>
          <w:spacing w:val="0"/>
          <w:sz w:val="30"/>
          <w:szCs w:val="30"/>
          <w:shd w:val="clear" w:fill="FFFFFF"/>
          <w:lang w:eastAsia="zh-CN"/>
        </w:rPr>
        <w:t>南平市绿发国有林场</w:t>
      </w:r>
      <w:r>
        <w:rPr>
          <w:rFonts w:hint="eastAsia" w:ascii="宋体" w:hAnsi="宋体" w:eastAsia="宋体" w:cs="宋体"/>
          <w:i w:val="0"/>
          <w:iCs w:val="0"/>
          <w:caps w:val="0"/>
          <w:color w:val="333333"/>
          <w:spacing w:val="0"/>
          <w:sz w:val="30"/>
          <w:szCs w:val="30"/>
          <w:shd w:val="clear" w:fill="FFFFFF"/>
        </w:rPr>
        <w:br w:type="textWrapping"/>
      </w:r>
      <w:r>
        <w:rPr>
          <w:rFonts w:hint="eastAsia" w:ascii="宋体" w:hAnsi="宋体" w:eastAsia="宋体" w:cs="宋体"/>
          <w:i w:val="0"/>
          <w:iCs w:val="0"/>
          <w:caps w:val="0"/>
          <w:color w:val="333333"/>
          <w:spacing w:val="0"/>
          <w:sz w:val="30"/>
          <w:szCs w:val="30"/>
          <w:shd w:val="clear" w:fill="FFFFFF"/>
        </w:rPr>
        <w:t>地址：</w:t>
      </w:r>
      <w:r>
        <w:rPr>
          <w:rFonts w:hint="eastAsia" w:ascii="宋体" w:hAnsi="宋体" w:eastAsia="宋体" w:cs="宋体"/>
          <w:b/>
          <w:bCs/>
          <w:i w:val="0"/>
          <w:iCs w:val="0"/>
          <w:caps w:val="0"/>
          <w:color w:val="333333"/>
          <w:spacing w:val="0"/>
          <w:sz w:val="30"/>
          <w:szCs w:val="30"/>
          <w:shd w:val="clear" w:fill="FFFFFF"/>
          <w:lang w:eastAsia="zh-CN"/>
        </w:rPr>
        <w:t>福建省南平市建阳区广信街96号（赤岸文旅综合园四层）</w:t>
      </w:r>
      <w:r>
        <w:rPr>
          <w:rFonts w:hint="eastAsia" w:ascii="宋体" w:hAnsi="宋体" w:eastAsia="宋体" w:cs="宋体"/>
          <w:i w:val="0"/>
          <w:iCs w:val="0"/>
          <w:caps w:val="0"/>
          <w:color w:val="333333"/>
          <w:spacing w:val="0"/>
          <w:sz w:val="30"/>
          <w:szCs w:val="30"/>
          <w:shd w:val="clear" w:fill="FFFFFF"/>
        </w:rPr>
        <w:br w:type="textWrapping"/>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b/>
          <w:bCs/>
          <w:i w:val="0"/>
          <w:iCs w:val="0"/>
          <w:caps w:val="0"/>
          <w:color w:val="333333"/>
          <w:spacing w:val="0"/>
          <w:sz w:val="30"/>
          <w:szCs w:val="30"/>
          <w:shd w:val="clear" w:fill="FFFFFF"/>
          <w:lang w:eastAsia="zh-CN"/>
        </w:rPr>
      </w:pPr>
      <w:r>
        <w:rPr>
          <w:rFonts w:hint="eastAsia" w:ascii="宋体" w:hAnsi="宋体" w:eastAsia="宋体" w:cs="宋体"/>
          <w:i w:val="0"/>
          <w:iCs w:val="0"/>
          <w:caps w:val="0"/>
          <w:color w:val="333333"/>
          <w:spacing w:val="0"/>
          <w:kern w:val="0"/>
          <w:sz w:val="30"/>
          <w:szCs w:val="30"/>
          <w:shd w:val="clear" w:fill="FFFFFF"/>
          <w:lang w:val="en-US" w:eastAsia="zh-CN" w:bidi="ar"/>
        </w:rPr>
        <w:t>乙方：</w:t>
      </w:r>
      <w:r>
        <w:rPr>
          <w:rStyle w:val="8"/>
          <w:rFonts w:hint="eastAsia" w:ascii="宋体" w:hAnsi="宋体" w:eastAsia="宋体" w:cs="宋体"/>
          <w:spacing w:val="0"/>
          <w:sz w:val="28"/>
          <w:szCs w:val="28"/>
          <w:lang w:eastAsia="zh-CN"/>
        </w:rPr>
        <w:t>南平市产权交易有限公司</w:t>
      </w:r>
      <w:r>
        <w:rPr>
          <w:rFonts w:hint="eastAsia" w:ascii="宋体" w:hAnsi="宋体" w:eastAsia="宋体" w:cs="宋体"/>
          <w:i w:val="0"/>
          <w:iCs w:val="0"/>
          <w:caps w:val="0"/>
          <w:color w:val="333333"/>
          <w:spacing w:val="0"/>
          <w:kern w:val="0"/>
          <w:sz w:val="30"/>
          <w:szCs w:val="30"/>
          <w:shd w:val="clear" w:fill="FFFFFF"/>
          <w:lang w:val="en-US" w:eastAsia="zh-CN" w:bidi="ar"/>
        </w:rPr>
        <w:br w:type="textWrapping"/>
      </w:r>
      <w:r>
        <w:rPr>
          <w:rFonts w:hint="eastAsia" w:ascii="宋体" w:hAnsi="宋体" w:eastAsia="宋体" w:cs="宋体"/>
          <w:i w:val="0"/>
          <w:iCs w:val="0"/>
          <w:caps w:val="0"/>
          <w:color w:val="333333"/>
          <w:spacing w:val="0"/>
          <w:kern w:val="0"/>
          <w:sz w:val="30"/>
          <w:szCs w:val="30"/>
          <w:shd w:val="clear" w:fill="FFFFFF"/>
          <w:lang w:val="en-US" w:eastAsia="zh-CN" w:bidi="ar"/>
        </w:rPr>
        <w:t>地址：</w:t>
      </w:r>
      <w:r>
        <w:rPr>
          <w:rFonts w:hint="eastAsia" w:ascii="宋体" w:hAnsi="宋体" w:eastAsia="宋体" w:cs="宋体"/>
          <w:b/>
          <w:bCs/>
          <w:i w:val="0"/>
          <w:iCs w:val="0"/>
          <w:caps w:val="0"/>
          <w:color w:val="333333"/>
          <w:spacing w:val="0"/>
          <w:sz w:val="30"/>
          <w:szCs w:val="30"/>
          <w:shd w:val="clear" w:fill="FFFFFF"/>
          <w:lang w:eastAsia="zh-CN"/>
        </w:rPr>
        <w:t>福建省南平市建阳区广信街96号一层(万星广场对面)</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根据《中华人民共和国</w:t>
      </w:r>
      <w:r>
        <w:rPr>
          <w:rFonts w:hint="eastAsia" w:ascii="宋体" w:hAnsi="宋体" w:eastAsia="宋体" w:cs="宋体"/>
          <w:i w:val="0"/>
          <w:iCs w:val="0"/>
          <w:caps w:val="0"/>
          <w:color w:val="333333"/>
          <w:spacing w:val="0"/>
          <w:sz w:val="30"/>
          <w:szCs w:val="30"/>
          <w:shd w:val="clear" w:fill="FFFFFF"/>
          <w:lang w:val="en-US" w:eastAsia="zh-CN"/>
        </w:rPr>
        <w:t>招标投标法</w:t>
      </w:r>
      <w:r>
        <w:rPr>
          <w:rFonts w:hint="eastAsia" w:ascii="宋体" w:hAnsi="宋体" w:eastAsia="宋体" w:cs="宋体"/>
          <w:i w:val="0"/>
          <w:iCs w:val="0"/>
          <w:caps w:val="0"/>
          <w:color w:val="333333"/>
          <w:spacing w:val="0"/>
          <w:sz w:val="30"/>
          <w:szCs w:val="30"/>
          <w:shd w:val="clear" w:fill="FFFFFF"/>
        </w:rPr>
        <w:t>》《中华人民共和国民法典》等法律法规及</w:t>
      </w:r>
      <w:r>
        <w:rPr>
          <w:rFonts w:hint="eastAsia" w:ascii="宋体" w:hAnsi="宋体" w:eastAsia="宋体" w:cs="宋体"/>
          <w:i w:val="0"/>
          <w:iCs w:val="0"/>
          <w:caps w:val="0"/>
          <w:color w:val="333333"/>
          <w:spacing w:val="0"/>
          <w:sz w:val="30"/>
          <w:szCs w:val="30"/>
          <w:shd w:val="clear" w:fill="FFFFFF"/>
          <w:lang w:val="en-US" w:eastAsia="zh-CN"/>
        </w:rPr>
        <w:t>南平市绿发集团有限公司</w:t>
      </w:r>
      <w:r>
        <w:rPr>
          <w:rFonts w:hint="eastAsia" w:ascii="宋体" w:hAnsi="宋体" w:eastAsia="宋体" w:cs="宋体"/>
          <w:i w:val="0"/>
          <w:iCs w:val="0"/>
          <w:caps w:val="0"/>
          <w:color w:val="333333"/>
          <w:spacing w:val="0"/>
          <w:sz w:val="30"/>
          <w:szCs w:val="30"/>
          <w:shd w:val="clear" w:fill="FFFFFF"/>
        </w:rPr>
        <w:t>相关政策规定，经甲乙双方协商一致，就甲方委托乙方代理甲方相关项目</w:t>
      </w:r>
      <w:r>
        <w:rPr>
          <w:rFonts w:hint="eastAsia" w:ascii="宋体" w:hAnsi="宋体" w:eastAsia="宋体" w:cs="宋体"/>
          <w:i w:val="0"/>
          <w:iCs w:val="0"/>
          <w:caps w:val="0"/>
          <w:color w:val="333333"/>
          <w:spacing w:val="0"/>
          <w:sz w:val="30"/>
          <w:szCs w:val="30"/>
          <w:shd w:val="clear" w:fill="FFFFFF"/>
          <w:lang w:val="en-US" w:eastAsia="zh-CN"/>
        </w:rPr>
        <w:t>招标</w:t>
      </w:r>
      <w:r>
        <w:rPr>
          <w:rFonts w:hint="eastAsia" w:ascii="宋体" w:hAnsi="宋体" w:eastAsia="宋体" w:cs="宋体"/>
          <w:i w:val="0"/>
          <w:iCs w:val="0"/>
          <w:caps w:val="0"/>
          <w:color w:val="333333"/>
          <w:spacing w:val="0"/>
          <w:sz w:val="30"/>
          <w:szCs w:val="30"/>
          <w:shd w:val="clear" w:fill="FFFFFF"/>
        </w:rPr>
        <w:t>事宜达到下列协议。</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kern w:val="0"/>
          <w:sz w:val="30"/>
          <w:szCs w:val="30"/>
          <w:shd w:val="clear" w:fill="FFFFFF"/>
          <w:lang w:val="en-US" w:eastAsia="zh-CN" w:bidi="ar"/>
        </w:rPr>
        <w:t>一、</w:t>
      </w:r>
      <w:r>
        <w:rPr>
          <w:rFonts w:hint="eastAsia" w:ascii="宋体" w:hAnsi="宋体" w:eastAsia="宋体" w:cs="宋体"/>
          <w:i w:val="0"/>
          <w:iCs w:val="0"/>
          <w:caps w:val="0"/>
          <w:color w:val="333333"/>
          <w:spacing w:val="0"/>
          <w:sz w:val="30"/>
          <w:szCs w:val="30"/>
          <w:shd w:val="clear" w:fill="FFFFFF"/>
        </w:rPr>
        <w:t>委托事项</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甲方委托乙方代理的项目为</w:t>
      </w:r>
      <w:r>
        <w:rPr>
          <w:rFonts w:hint="eastAsia" w:ascii="宋体" w:hAnsi="宋体" w:eastAsia="宋体" w:cs="宋体"/>
          <w:b/>
          <w:bCs/>
          <w:i w:val="0"/>
          <w:iCs w:val="0"/>
          <w:caps w:val="0"/>
          <w:color w:val="333333"/>
          <w:spacing w:val="0"/>
          <w:sz w:val="30"/>
          <w:szCs w:val="30"/>
          <w:u w:val="single"/>
          <w:shd w:val="clear" w:fill="FFFFFF"/>
          <w:lang w:eastAsia="zh-CN"/>
        </w:rPr>
        <w:t>关于中闽能源股份有限公司与福建省绿水青山林业有限公司相关合同清算审计</w:t>
      </w:r>
      <w:r>
        <w:rPr>
          <w:rFonts w:hint="eastAsia" w:ascii="宋体" w:hAnsi="宋体" w:eastAsia="宋体" w:cs="宋体"/>
          <w:b/>
          <w:bCs/>
          <w:i w:val="0"/>
          <w:iCs w:val="0"/>
          <w:caps w:val="0"/>
          <w:color w:val="333333"/>
          <w:spacing w:val="0"/>
          <w:sz w:val="30"/>
          <w:szCs w:val="30"/>
          <w:u w:val="single"/>
          <w:shd w:val="clear" w:fill="FFFFFF"/>
          <w:lang w:val="en-US" w:eastAsia="zh-CN"/>
        </w:rPr>
        <w:t>中介机构聘选</w:t>
      </w:r>
      <w:r>
        <w:rPr>
          <w:rFonts w:hint="eastAsia" w:ascii="宋体" w:hAnsi="宋体" w:eastAsia="宋体" w:cs="宋体"/>
          <w:i w:val="0"/>
          <w:iCs w:val="0"/>
          <w:caps w:val="0"/>
          <w:color w:val="333333"/>
          <w:spacing w:val="0"/>
          <w:sz w:val="30"/>
          <w:szCs w:val="30"/>
          <w:shd w:val="clear" w:fill="FFFFFF"/>
        </w:rPr>
        <w:t>,预算金额</w:t>
      </w:r>
      <w:r>
        <w:rPr>
          <w:rFonts w:hint="eastAsia" w:ascii="宋体" w:hAnsi="宋体" w:eastAsia="宋体" w:cs="宋体"/>
          <w:i w:val="0"/>
          <w:iCs w:val="0"/>
          <w:caps w:val="0"/>
          <w:color w:val="333333"/>
          <w:spacing w:val="0"/>
          <w:sz w:val="30"/>
          <w:szCs w:val="30"/>
          <w:shd w:val="clear" w:fill="FFFFFF"/>
          <w:lang w:val="en-US" w:eastAsia="zh-CN"/>
        </w:rPr>
        <w:t>约</w:t>
      </w:r>
      <w:r>
        <w:rPr>
          <w:rFonts w:hint="eastAsia" w:ascii="宋体" w:hAnsi="宋体" w:eastAsia="宋体" w:cs="宋体"/>
          <w:b/>
          <w:bCs/>
          <w:i w:val="0"/>
          <w:iCs w:val="0"/>
          <w:caps w:val="0"/>
          <w:color w:val="333333"/>
          <w:spacing w:val="0"/>
          <w:sz w:val="30"/>
          <w:szCs w:val="30"/>
          <w:u w:val="single"/>
          <w:shd w:val="clear" w:fill="FFFFFF"/>
          <w:lang w:val="en-US" w:eastAsia="zh-CN"/>
        </w:rPr>
        <w:t>500000</w:t>
      </w:r>
      <w:r>
        <w:rPr>
          <w:rFonts w:hint="eastAsia" w:ascii="宋体" w:hAnsi="宋体" w:eastAsia="宋体" w:cs="宋体"/>
          <w:i w:val="0"/>
          <w:iCs w:val="0"/>
          <w:caps w:val="0"/>
          <w:color w:val="333333"/>
          <w:spacing w:val="0"/>
          <w:sz w:val="30"/>
          <w:szCs w:val="30"/>
          <w:shd w:val="clear" w:fill="FFFFFF"/>
        </w:rPr>
        <w:t>元。</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kern w:val="0"/>
          <w:sz w:val="30"/>
          <w:szCs w:val="30"/>
          <w:shd w:val="clear" w:fill="FFFFFF"/>
          <w:lang w:val="en-US" w:eastAsia="zh-CN" w:bidi="ar"/>
        </w:rPr>
        <w:t>二、</w:t>
      </w:r>
      <w:r>
        <w:rPr>
          <w:rFonts w:hint="eastAsia" w:ascii="宋体" w:hAnsi="宋体" w:eastAsia="宋体" w:cs="宋体"/>
          <w:i w:val="0"/>
          <w:iCs w:val="0"/>
          <w:caps w:val="0"/>
          <w:color w:val="333333"/>
          <w:spacing w:val="0"/>
          <w:sz w:val="30"/>
          <w:szCs w:val="30"/>
          <w:shd w:val="clear" w:fill="FFFFFF"/>
        </w:rPr>
        <w:t>委托权限及范围</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甲方委托乙方代理下列事项: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甲方委托乙方编制、发售招标文件，在指定媒体上发布招标（采购）公告或投标邀请函；组织整个招标过程，在指定媒体上发布中标公告，以及法定其他事项。</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kern w:val="0"/>
          <w:sz w:val="30"/>
          <w:szCs w:val="30"/>
          <w:shd w:val="clear" w:fill="FFFFFF"/>
          <w:lang w:val="en-US" w:eastAsia="zh-CN" w:bidi="ar"/>
        </w:rPr>
        <w:t>三、</w:t>
      </w:r>
      <w:r>
        <w:rPr>
          <w:rFonts w:hint="eastAsia" w:ascii="宋体" w:hAnsi="宋体" w:eastAsia="宋体" w:cs="宋体"/>
          <w:i w:val="0"/>
          <w:iCs w:val="0"/>
          <w:caps w:val="0"/>
          <w:color w:val="333333"/>
          <w:spacing w:val="0"/>
          <w:sz w:val="30"/>
          <w:szCs w:val="30"/>
          <w:shd w:val="clear" w:fill="FFFFFF"/>
        </w:rPr>
        <w:t>甲方的责任</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1、甲方委托乙方组织实施的采购项目，均按本协议办理。</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2、甲方委托乙方采购项目，应保证项目的预算或计划以及须办理的相关报批手续已经有关部门批准。</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3</w:t>
      </w:r>
      <w:r>
        <w:rPr>
          <w:rFonts w:hint="eastAsia" w:ascii="宋体" w:hAnsi="宋体" w:eastAsia="宋体" w:cs="宋体"/>
          <w:i w:val="0"/>
          <w:iCs w:val="0"/>
          <w:caps w:val="0"/>
          <w:color w:val="333333"/>
          <w:spacing w:val="0"/>
          <w:sz w:val="30"/>
          <w:szCs w:val="30"/>
          <w:shd w:val="clear" w:fill="FFFFFF"/>
        </w:rPr>
        <w:t>、甲方负责向乙方提供委托采购项目所需符合法律法规规定的有关投标人资格、标的物技术、服务、商务要求及甲方拟采用的评标方法等书面材料，协助乙方编制采购文件；及时审核、确认乙方拟订的采购文件，并对招标文件中的技术部分负责。</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4</w:t>
      </w:r>
      <w:r>
        <w:rPr>
          <w:rFonts w:hint="eastAsia" w:ascii="宋体" w:hAnsi="宋体" w:eastAsia="宋体" w:cs="宋体"/>
          <w:i w:val="0"/>
          <w:iCs w:val="0"/>
          <w:caps w:val="0"/>
          <w:color w:val="333333"/>
          <w:spacing w:val="0"/>
          <w:sz w:val="30"/>
          <w:szCs w:val="30"/>
          <w:shd w:val="clear" w:fill="FFFFFF"/>
        </w:rPr>
        <w:t>、按法律法规规定指派有关人员代表甲方参与采购活动，授权与本项目供应商无直接利害关系的专业人员代表甲方出任评标委员会成员，但不得非法干预、影响评标办法的确定，以及评标过程和结果。</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5</w:t>
      </w:r>
      <w:r>
        <w:rPr>
          <w:rFonts w:hint="eastAsia" w:ascii="宋体" w:hAnsi="宋体" w:eastAsia="宋体" w:cs="宋体"/>
          <w:i w:val="0"/>
          <w:iCs w:val="0"/>
          <w:caps w:val="0"/>
          <w:color w:val="333333"/>
          <w:spacing w:val="0"/>
          <w:sz w:val="30"/>
          <w:szCs w:val="30"/>
          <w:shd w:val="clear" w:fill="FFFFFF"/>
        </w:rPr>
        <w:t>、甲方对采购过程中的评议内容负有保密职责。</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6</w:t>
      </w:r>
      <w:r>
        <w:rPr>
          <w:rFonts w:hint="eastAsia" w:ascii="宋体" w:hAnsi="宋体" w:eastAsia="宋体" w:cs="宋体"/>
          <w:i w:val="0"/>
          <w:iCs w:val="0"/>
          <w:caps w:val="0"/>
          <w:color w:val="333333"/>
          <w:spacing w:val="0"/>
          <w:sz w:val="30"/>
          <w:szCs w:val="30"/>
          <w:shd w:val="clear" w:fill="FFFFFF"/>
        </w:rPr>
        <w:t>、甲方须支付相关的</w:t>
      </w:r>
      <w:r>
        <w:rPr>
          <w:rFonts w:hint="eastAsia" w:ascii="宋体" w:hAnsi="宋体" w:eastAsia="宋体" w:cs="宋体"/>
          <w:i w:val="0"/>
          <w:iCs w:val="0"/>
          <w:caps w:val="0"/>
          <w:color w:val="333333"/>
          <w:spacing w:val="0"/>
          <w:sz w:val="30"/>
          <w:szCs w:val="30"/>
          <w:shd w:val="clear" w:fill="FFFFFF"/>
          <w:lang w:eastAsia="zh-CN"/>
        </w:rPr>
        <w:t>代理服务费</w:t>
      </w:r>
      <w:r>
        <w:rPr>
          <w:rFonts w:hint="eastAsia" w:ascii="宋体" w:hAnsi="宋体" w:eastAsia="宋体" w:cs="宋体"/>
          <w:i w:val="0"/>
          <w:iCs w:val="0"/>
          <w:caps w:val="0"/>
          <w:color w:val="333333"/>
          <w:spacing w:val="0"/>
          <w:sz w:val="30"/>
          <w:szCs w:val="30"/>
          <w:shd w:val="clear" w:fill="FFFFFF"/>
        </w:rPr>
        <w:t>。</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kern w:val="0"/>
          <w:sz w:val="30"/>
          <w:szCs w:val="30"/>
          <w:shd w:val="clear" w:fill="FFFFFF"/>
          <w:lang w:val="en-US" w:eastAsia="zh-CN" w:bidi="ar"/>
        </w:rPr>
        <w:t>五、</w:t>
      </w:r>
      <w:r>
        <w:rPr>
          <w:rFonts w:hint="eastAsia" w:ascii="宋体" w:hAnsi="宋体" w:eastAsia="宋体" w:cs="宋体"/>
          <w:i w:val="0"/>
          <w:iCs w:val="0"/>
          <w:caps w:val="0"/>
          <w:color w:val="333333"/>
          <w:spacing w:val="0"/>
          <w:sz w:val="30"/>
          <w:szCs w:val="30"/>
          <w:shd w:val="clear" w:fill="FFFFFF"/>
        </w:rPr>
        <w:t>乙方的权利和义务</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1、乙方将按</w:t>
      </w:r>
      <w:r>
        <w:rPr>
          <w:rFonts w:hint="eastAsia" w:ascii="宋体" w:hAnsi="宋体" w:eastAsia="宋体" w:cs="宋体"/>
          <w:i w:val="0"/>
          <w:iCs w:val="0"/>
          <w:caps w:val="0"/>
          <w:color w:val="333333"/>
          <w:spacing w:val="0"/>
          <w:sz w:val="30"/>
          <w:szCs w:val="30"/>
          <w:shd w:val="clear" w:fill="FFFFFF"/>
          <w:lang w:val="en-US" w:eastAsia="zh-CN"/>
        </w:rPr>
        <w:t>招标投标</w:t>
      </w:r>
      <w:r>
        <w:rPr>
          <w:rFonts w:hint="eastAsia" w:ascii="宋体" w:hAnsi="宋体" w:eastAsia="宋体" w:cs="宋体"/>
          <w:i w:val="0"/>
          <w:iCs w:val="0"/>
          <w:caps w:val="0"/>
          <w:color w:val="333333"/>
          <w:spacing w:val="0"/>
          <w:sz w:val="30"/>
          <w:szCs w:val="30"/>
          <w:shd w:val="clear" w:fill="FFFFFF"/>
        </w:rPr>
        <w:t>的相关法律法规的规定组织甲方所委托项目的采购工作，精心设计和组织采购工作，向甲方提供优良的服务，保证采购计划顺利实施，维护</w:t>
      </w:r>
      <w:r>
        <w:rPr>
          <w:rFonts w:hint="eastAsia" w:ascii="宋体" w:hAnsi="宋体" w:eastAsia="宋体" w:cs="宋体"/>
          <w:i w:val="0"/>
          <w:iCs w:val="0"/>
          <w:caps w:val="0"/>
          <w:color w:val="333333"/>
          <w:spacing w:val="0"/>
          <w:sz w:val="30"/>
          <w:szCs w:val="30"/>
          <w:shd w:val="clear" w:fill="FFFFFF"/>
          <w:lang w:val="en-US" w:eastAsia="zh-CN"/>
        </w:rPr>
        <w:t>甲方的</w:t>
      </w:r>
      <w:r>
        <w:rPr>
          <w:rFonts w:hint="eastAsia" w:ascii="宋体" w:hAnsi="宋体" w:eastAsia="宋体" w:cs="宋体"/>
          <w:i w:val="0"/>
          <w:iCs w:val="0"/>
          <w:caps w:val="0"/>
          <w:color w:val="333333"/>
          <w:spacing w:val="0"/>
          <w:sz w:val="30"/>
          <w:szCs w:val="30"/>
          <w:shd w:val="clear" w:fill="FFFFFF"/>
        </w:rPr>
        <w:t>效益。</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2</w:t>
      </w:r>
      <w:r>
        <w:rPr>
          <w:rFonts w:hint="eastAsia" w:ascii="宋体" w:hAnsi="宋体" w:eastAsia="宋体" w:cs="宋体"/>
          <w:i w:val="0"/>
          <w:iCs w:val="0"/>
          <w:caps w:val="0"/>
          <w:color w:val="333333"/>
          <w:spacing w:val="0"/>
          <w:sz w:val="30"/>
          <w:szCs w:val="30"/>
          <w:shd w:val="clear" w:fill="FFFFFF"/>
        </w:rPr>
        <w:t>、乙方负责根据甲方提供的所委托采购项目符合法律法规规定的具体技术、服务、商务等要求编制采购文件，负责印刷、发售、发布、解释采购文件，采购文件版权归乙方所有。</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3</w:t>
      </w:r>
      <w:r>
        <w:rPr>
          <w:rFonts w:hint="eastAsia" w:ascii="宋体" w:hAnsi="宋体" w:eastAsia="宋体" w:cs="宋体"/>
          <w:i w:val="0"/>
          <w:iCs w:val="0"/>
          <w:caps w:val="0"/>
          <w:color w:val="333333"/>
          <w:spacing w:val="0"/>
          <w:sz w:val="30"/>
          <w:szCs w:val="30"/>
          <w:shd w:val="clear" w:fill="FFFFFF"/>
        </w:rPr>
        <w:t>、乙方根据国家有关规定，及时发布相关采购信息，向潜在的供应商发出邀请。</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4</w:t>
      </w:r>
      <w:r>
        <w:rPr>
          <w:rFonts w:hint="eastAsia" w:ascii="宋体" w:hAnsi="宋体" w:eastAsia="宋体" w:cs="宋体"/>
          <w:i w:val="0"/>
          <w:iCs w:val="0"/>
          <w:caps w:val="0"/>
          <w:color w:val="333333"/>
          <w:spacing w:val="0"/>
          <w:sz w:val="30"/>
          <w:szCs w:val="30"/>
          <w:shd w:val="clear" w:fill="FFFFFF"/>
        </w:rPr>
        <w:t>、乙方负责组织开标、评标、项目论证，做好采购过程的记录。按采购文件规定依法组织采购项目的评标委员会接受供应商报价，审查报价方资格，按公平、公正的原则确定中标（成交）人。</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5</w:t>
      </w:r>
      <w:r>
        <w:rPr>
          <w:rFonts w:hint="eastAsia" w:ascii="宋体" w:hAnsi="宋体" w:eastAsia="宋体" w:cs="宋体"/>
          <w:i w:val="0"/>
          <w:iCs w:val="0"/>
          <w:caps w:val="0"/>
          <w:color w:val="333333"/>
          <w:spacing w:val="0"/>
          <w:sz w:val="30"/>
          <w:szCs w:val="30"/>
          <w:shd w:val="clear" w:fill="FFFFFF"/>
        </w:rPr>
        <w:t>、乙方负责提请甲方对采购文件和采购结果的确认。</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6</w:t>
      </w:r>
      <w:r>
        <w:rPr>
          <w:rFonts w:hint="eastAsia" w:ascii="宋体" w:hAnsi="宋体" w:eastAsia="宋体" w:cs="宋体"/>
          <w:i w:val="0"/>
          <w:iCs w:val="0"/>
          <w:caps w:val="0"/>
          <w:color w:val="333333"/>
          <w:spacing w:val="0"/>
          <w:sz w:val="30"/>
          <w:szCs w:val="30"/>
          <w:shd w:val="clear" w:fill="FFFFFF"/>
        </w:rPr>
        <w:t>、乙方根据评标委员会、谈判小组、询价小组的评选结果和甲方的确认采购结果情况，宣布中标或成交候选供应商名单并向中标供应商发出中标通知书，并将中标结果通知甲方。</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7</w:t>
      </w:r>
      <w:r>
        <w:rPr>
          <w:rFonts w:hint="eastAsia" w:ascii="宋体" w:hAnsi="宋体" w:eastAsia="宋体" w:cs="宋体"/>
          <w:i w:val="0"/>
          <w:iCs w:val="0"/>
          <w:caps w:val="0"/>
          <w:color w:val="333333"/>
          <w:spacing w:val="0"/>
          <w:sz w:val="30"/>
          <w:szCs w:val="30"/>
          <w:shd w:val="clear" w:fill="FFFFFF"/>
        </w:rPr>
        <w:t>、乙方负责相关采购资料的整理、归档和保管，并接受甲方的查询。</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8</w:t>
      </w:r>
      <w:r>
        <w:rPr>
          <w:rFonts w:hint="eastAsia" w:ascii="宋体" w:hAnsi="宋体" w:eastAsia="宋体" w:cs="宋体"/>
          <w:i w:val="0"/>
          <w:iCs w:val="0"/>
          <w:caps w:val="0"/>
          <w:color w:val="333333"/>
          <w:spacing w:val="0"/>
          <w:sz w:val="30"/>
          <w:szCs w:val="30"/>
          <w:shd w:val="clear" w:fill="FFFFFF"/>
        </w:rPr>
        <w:t>、乙方负责采购过程中相关工作的协调，做好服务工作。</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9</w:t>
      </w:r>
      <w:r>
        <w:rPr>
          <w:rFonts w:hint="eastAsia" w:ascii="宋体" w:hAnsi="宋体" w:eastAsia="宋体" w:cs="宋体"/>
          <w:i w:val="0"/>
          <w:iCs w:val="0"/>
          <w:caps w:val="0"/>
          <w:color w:val="333333"/>
          <w:spacing w:val="0"/>
          <w:sz w:val="30"/>
          <w:szCs w:val="30"/>
          <w:shd w:val="clear" w:fill="FFFFFF"/>
        </w:rPr>
        <w:t>、乙方有权拒绝甲方不符合法律法规规定的要求，如无法协商解决，乙方可以中止甲方所委托的相关采购项目。</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lang w:val="en-US" w:eastAsia="zh-CN"/>
        </w:rPr>
        <w:t>10、乙方不得向中标人收取代理服务费。</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六、委托协议的变更和终止</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甲乙双方在协商一致的情况下，可以在法律许可范围内对委托协议内容做出变更；如因政策原因，致使采购项目发生更改，本协议应作相应变更或终止。甲方若有违反法律法规规定的需求，经乙方书面告知仍不同意纠正的，乙方可书面提出终止本协议，经双方协商一致后解除协议。</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kern w:val="0"/>
          <w:sz w:val="30"/>
          <w:szCs w:val="30"/>
          <w:shd w:val="clear" w:fill="FFFFFF"/>
          <w:lang w:val="en-US" w:eastAsia="zh-CN" w:bidi="ar"/>
        </w:rPr>
        <w:tab/>
      </w:r>
      <w:r>
        <w:rPr>
          <w:rFonts w:hint="eastAsia" w:ascii="宋体" w:hAnsi="宋体" w:eastAsia="宋体" w:cs="宋体"/>
          <w:i w:val="0"/>
          <w:iCs w:val="0"/>
          <w:caps w:val="0"/>
          <w:color w:val="333333"/>
          <w:spacing w:val="0"/>
          <w:kern w:val="0"/>
          <w:sz w:val="30"/>
          <w:szCs w:val="30"/>
          <w:shd w:val="clear" w:fill="FFFFFF"/>
          <w:lang w:val="en-US" w:eastAsia="zh-CN" w:bidi="ar"/>
        </w:rPr>
        <w:t>七、</w:t>
      </w:r>
      <w:r>
        <w:rPr>
          <w:rFonts w:hint="eastAsia" w:ascii="宋体" w:hAnsi="宋体" w:eastAsia="宋体" w:cs="宋体"/>
          <w:i w:val="0"/>
          <w:iCs w:val="0"/>
          <w:caps w:val="0"/>
          <w:color w:val="333333"/>
          <w:spacing w:val="0"/>
          <w:sz w:val="30"/>
          <w:szCs w:val="30"/>
          <w:shd w:val="clear" w:fill="FFFFFF"/>
        </w:rPr>
        <w:t>违约责任</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right="0" w:rightChars="0"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甲乙双方应遵守法律法规和本协议规定，否则，将承担相应的法律责任。因违约造成经济损失的，由违约方承担。 </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i w:val="0"/>
          <w:iCs w:val="0"/>
          <w:caps w:val="0"/>
          <w:color w:val="333333"/>
          <w:spacing w:val="0"/>
          <w:sz w:val="30"/>
          <w:szCs w:val="30"/>
          <w:highlight w:val="yellow"/>
          <w:shd w:val="clear" w:fill="FFFFFF"/>
        </w:rPr>
      </w:pPr>
      <w:r>
        <w:rPr>
          <w:rFonts w:hint="eastAsia" w:ascii="宋体" w:hAnsi="宋体" w:eastAsia="宋体" w:cs="宋体"/>
          <w:i w:val="0"/>
          <w:iCs w:val="0"/>
          <w:caps w:val="0"/>
          <w:color w:val="333333"/>
          <w:spacing w:val="0"/>
          <w:kern w:val="0"/>
          <w:sz w:val="30"/>
          <w:szCs w:val="30"/>
          <w:highlight w:val="yellow"/>
          <w:shd w:val="clear" w:fill="FFFFFF"/>
          <w:lang w:val="en-US" w:eastAsia="zh-CN" w:bidi="ar"/>
        </w:rPr>
        <w:t>八、</w:t>
      </w:r>
      <w:r>
        <w:rPr>
          <w:rFonts w:hint="eastAsia" w:ascii="宋体" w:hAnsi="宋体" w:eastAsia="宋体" w:cs="宋体"/>
          <w:i w:val="0"/>
          <w:iCs w:val="0"/>
          <w:caps w:val="0"/>
          <w:color w:val="333333"/>
          <w:spacing w:val="0"/>
          <w:sz w:val="30"/>
          <w:szCs w:val="30"/>
          <w:highlight w:val="yellow"/>
          <w:shd w:val="clear" w:fill="FFFFFF"/>
        </w:rPr>
        <w:t>代理服务费用</w:t>
      </w:r>
      <w:bookmarkStart w:id="0" w:name="_GoBack"/>
      <w:bookmarkEnd w:id="0"/>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textAlignment w:val="auto"/>
        <w:rPr>
          <w:rFonts w:hint="eastAsia" w:ascii="宋体" w:hAnsi="宋体" w:eastAsia="宋体" w:cs="宋体"/>
          <w:highlight w:val="yellow"/>
        </w:rPr>
      </w:pPr>
      <w:r>
        <w:rPr>
          <w:rFonts w:hint="eastAsia" w:ascii="宋体" w:hAnsi="宋体" w:eastAsia="宋体" w:cs="宋体"/>
          <w:i w:val="0"/>
          <w:iCs w:val="0"/>
          <w:caps w:val="0"/>
          <w:color w:val="333333"/>
          <w:spacing w:val="0"/>
          <w:kern w:val="0"/>
          <w:sz w:val="30"/>
          <w:szCs w:val="30"/>
          <w:highlight w:val="yellow"/>
          <w:shd w:val="clear" w:fill="FFFFFF"/>
          <w:lang w:val="en-US" w:eastAsia="zh-CN" w:bidi="ar"/>
        </w:rPr>
        <w:t>1、代理费用由中标人支付，按照中标（成交）金额，以差额定率累进法收取代理费用，参考如下标准。</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362"/>
        <w:gridCol w:w="2062"/>
        <w:gridCol w:w="2044"/>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sz w:val="28"/>
                <w:szCs w:val="28"/>
                <w:highlight w:val="yellow"/>
              </w:rPr>
            </w:pPr>
            <w:r>
              <w:rPr>
                <w:rStyle w:val="8"/>
                <w:rFonts w:hint="eastAsia" w:ascii="宋体" w:hAnsi="宋体" w:eastAsia="宋体" w:cs="宋体"/>
                <w:b/>
                <w:bCs/>
                <w:color w:val="000000"/>
                <w:sz w:val="28"/>
                <w:szCs w:val="28"/>
                <w:highlight w:val="yellow"/>
              </w:rPr>
              <w:t>中标（成交）金额（人民币万元）</w:t>
            </w:r>
          </w:p>
        </w:tc>
        <w:tc>
          <w:tcPr>
            <w:tcW w:w="1198"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sz w:val="28"/>
                <w:szCs w:val="28"/>
                <w:highlight w:val="yellow"/>
              </w:rPr>
            </w:pPr>
            <w:r>
              <w:rPr>
                <w:rStyle w:val="8"/>
                <w:rFonts w:hint="eastAsia" w:ascii="宋体" w:hAnsi="宋体" w:eastAsia="宋体" w:cs="宋体"/>
                <w:b/>
                <w:bCs/>
                <w:color w:val="000000"/>
                <w:sz w:val="28"/>
                <w:szCs w:val="28"/>
                <w:highlight w:val="yellow"/>
              </w:rPr>
              <w:t>货物采购费率</w:t>
            </w:r>
          </w:p>
        </w:tc>
        <w:tc>
          <w:tcPr>
            <w:tcW w:w="1187"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sz w:val="28"/>
                <w:szCs w:val="28"/>
                <w:highlight w:val="yellow"/>
              </w:rPr>
            </w:pPr>
            <w:r>
              <w:rPr>
                <w:rStyle w:val="8"/>
                <w:rFonts w:hint="eastAsia" w:ascii="宋体" w:hAnsi="宋体" w:eastAsia="宋体" w:cs="宋体"/>
                <w:b/>
                <w:bCs/>
                <w:color w:val="000000"/>
                <w:sz w:val="28"/>
                <w:szCs w:val="28"/>
                <w:highlight w:val="yellow"/>
              </w:rPr>
              <w:t>服务采购费率</w:t>
            </w:r>
          </w:p>
        </w:tc>
        <w:tc>
          <w:tcPr>
            <w:tcW w:w="1240"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Style w:val="8"/>
                <w:rFonts w:hint="eastAsia" w:ascii="宋体" w:hAnsi="宋体" w:eastAsia="宋体" w:cs="宋体"/>
                <w:b/>
                <w:bCs/>
                <w:color w:val="000000"/>
                <w:sz w:val="28"/>
                <w:szCs w:val="28"/>
                <w:highlight w:val="yellow"/>
              </w:rPr>
              <w:t>工程采购费率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100以下</w:t>
            </w:r>
          </w:p>
        </w:tc>
        <w:tc>
          <w:tcPr>
            <w:tcW w:w="1198"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1.5%</w:t>
            </w:r>
          </w:p>
        </w:tc>
        <w:tc>
          <w:tcPr>
            <w:tcW w:w="1187"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1.5%</w:t>
            </w:r>
          </w:p>
        </w:tc>
        <w:tc>
          <w:tcPr>
            <w:tcW w:w="1240"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100-500</w:t>
            </w:r>
          </w:p>
        </w:tc>
        <w:tc>
          <w:tcPr>
            <w:tcW w:w="1198"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1.1%</w:t>
            </w:r>
          </w:p>
        </w:tc>
        <w:tc>
          <w:tcPr>
            <w:tcW w:w="1187"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0.8%</w:t>
            </w:r>
          </w:p>
        </w:tc>
        <w:tc>
          <w:tcPr>
            <w:tcW w:w="1240"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500-1000</w:t>
            </w:r>
          </w:p>
        </w:tc>
        <w:tc>
          <w:tcPr>
            <w:tcW w:w="1198"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0.8%</w:t>
            </w:r>
          </w:p>
        </w:tc>
        <w:tc>
          <w:tcPr>
            <w:tcW w:w="1187"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0.45%</w:t>
            </w:r>
          </w:p>
        </w:tc>
        <w:tc>
          <w:tcPr>
            <w:tcW w:w="1240"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1000-5000</w:t>
            </w:r>
          </w:p>
        </w:tc>
        <w:tc>
          <w:tcPr>
            <w:tcW w:w="1198"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0.5%</w:t>
            </w:r>
          </w:p>
        </w:tc>
        <w:tc>
          <w:tcPr>
            <w:tcW w:w="1187"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0.25%</w:t>
            </w:r>
          </w:p>
        </w:tc>
        <w:tc>
          <w:tcPr>
            <w:tcW w:w="1240"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5000-10000</w:t>
            </w:r>
          </w:p>
        </w:tc>
        <w:tc>
          <w:tcPr>
            <w:tcW w:w="1198"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0.25%</w:t>
            </w:r>
          </w:p>
        </w:tc>
        <w:tc>
          <w:tcPr>
            <w:tcW w:w="1187"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0.1%</w:t>
            </w:r>
          </w:p>
        </w:tc>
        <w:tc>
          <w:tcPr>
            <w:tcW w:w="1240"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1亿～5亿</w:t>
            </w:r>
          </w:p>
        </w:tc>
        <w:tc>
          <w:tcPr>
            <w:tcW w:w="1198"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0.05%</w:t>
            </w:r>
          </w:p>
        </w:tc>
        <w:tc>
          <w:tcPr>
            <w:tcW w:w="1187"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0.05%</w:t>
            </w:r>
          </w:p>
        </w:tc>
        <w:tc>
          <w:tcPr>
            <w:tcW w:w="1240" w:type="pct"/>
            <w:shd w:val="clear" w:color="auto" w:fill="FFFFFF"/>
            <w:tcMar>
              <w:top w:w="30" w:type="dxa"/>
              <w:left w:w="150" w:type="dxa"/>
              <w:bottom w:w="30" w:type="dxa"/>
              <w:right w:w="150" w:type="dxa"/>
            </w:tcMar>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sz w:val="28"/>
                <w:szCs w:val="28"/>
                <w:highlight w:val="yellow"/>
              </w:rPr>
            </w:pPr>
            <w:r>
              <w:rPr>
                <w:rFonts w:hint="eastAsia" w:ascii="宋体" w:hAnsi="宋体" w:eastAsia="宋体" w:cs="宋体"/>
                <w:color w:val="000000"/>
                <w:sz w:val="28"/>
                <w:szCs w:val="28"/>
                <w:highlight w:val="yellow"/>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5亿～10亿</w:t>
            </w:r>
          </w:p>
        </w:tc>
        <w:tc>
          <w:tcPr>
            <w:tcW w:w="1198"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0.035%</w:t>
            </w:r>
          </w:p>
        </w:tc>
        <w:tc>
          <w:tcPr>
            <w:tcW w:w="1187"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0.035%</w:t>
            </w:r>
          </w:p>
        </w:tc>
        <w:tc>
          <w:tcPr>
            <w:tcW w:w="1240"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10亿～50亿</w:t>
            </w:r>
          </w:p>
        </w:tc>
        <w:tc>
          <w:tcPr>
            <w:tcW w:w="1198"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0.008%</w:t>
            </w:r>
          </w:p>
        </w:tc>
        <w:tc>
          <w:tcPr>
            <w:tcW w:w="1187"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0.008%</w:t>
            </w:r>
          </w:p>
        </w:tc>
        <w:tc>
          <w:tcPr>
            <w:tcW w:w="1240"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30" w:hRule="atLeast"/>
        </w:trPr>
        <w:tc>
          <w:tcPr>
            <w:tcW w:w="1372"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50亿～100亿</w:t>
            </w:r>
          </w:p>
        </w:tc>
        <w:tc>
          <w:tcPr>
            <w:tcW w:w="1198"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0.006%</w:t>
            </w:r>
          </w:p>
        </w:tc>
        <w:tc>
          <w:tcPr>
            <w:tcW w:w="1187"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0.006%</w:t>
            </w:r>
          </w:p>
        </w:tc>
        <w:tc>
          <w:tcPr>
            <w:tcW w:w="1240"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95" w:hRule="atLeast"/>
        </w:trPr>
        <w:tc>
          <w:tcPr>
            <w:tcW w:w="1372"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100亿以上</w:t>
            </w:r>
          </w:p>
        </w:tc>
        <w:tc>
          <w:tcPr>
            <w:tcW w:w="1198"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0.004%</w:t>
            </w:r>
          </w:p>
        </w:tc>
        <w:tc>
          <w:tcPr>
            <w:tcW w:w="1187"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0.004%</w:t>
            </w:r>
          </w:p>
        </w:tc>
        <w:tc>
          <w:tcPr>
            <w:tcW w:w="1240" w:type="pct"/>
            <w:shd w:val="clear" w:color="auto" w:fill="FFFFFF"/>
            <w:tcMar>
              <w:top w:w="30" w:type="dxa"/>
              <w:left w:w="150" w:type="dxa"/>
              <w:bottom w:w="30" w:type="dxa"/>
              <w:right w:w="150" w:type="dxa"/>
            </w:tcMar>
            <w:vAlign w:val="top"/>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rPr>
                <w:rFonts w:hint="eastAsia" w:ascii="宋体" w:hAnsi="宋体" w:eastAsia="宋体" w:cs="宋体"/>
                <w:color w:val="000000"/>
                <w:sz w:val="28"/>
                <w:szCs w:val="28"/>
                <w:highlight w:val="yellow"/>
              </w:rPr>
            </w:pPr>
            <w:r>
              <w:rPr>
                <w:rFonts w:hint="eastAsia" w:ascii="宋体" w:hAnsi="宋体" w:eastAsia="宋体" w:cs="宋体"/>
                <w:color w:val="000000"/>
                <w:sz w:val="28"/>
                <w:szCs w:val="28"/>
                <w:highlight w:val="yellow"/>
              </w:rPr>
              <w:t>0.004%</w:t>
            </w:r>
          </w:p>
        </w:tc>
      </w:tr>
    </w:tbl>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right="0" w:firstLine="600" w:firstLineChars="200"/>
        <w:jc w:val="left"/>
        <w:textAlignment w:val="auto"/>
        <w:rPr>
          <w:rFonts w:hint="eastAsia" w:ascii="宋体" w:hAnsi="宋体" w:eastAsia="宋体" w:cs="宋体"/>
          <w:highlight w:val="yellow"/>
        </w:rPr>
      </w:pPr>
      <w:r>
        <w:rPr>
          <w:rFonts w:hint="eastAsia" w:ascii="宋体" w:hAnsi="宋体" w:eastAsia="宋体" w:cs="宋体"/>
          <w:i w:val="0"/>
          <w:iCs w:val="0"/>
          <w:caps w:val="0"/>
          <w:color w:val="000000"/>
          <w:spacing w:val="0"/>
          <w:sz w:val="30"/>
          <w:szCs w:val="30"/>
          <w:highlight w:val="yellow"/>
          <w:shd w:val="clear" w:fill="FFFFFF"/>
        </w:rPr>
        <w:t>招标代理服务收费按差额定率累进法计算。例如：某工程招标代理业务中标金额为6000万元，计算招标代理服务收费额如下：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highlight w:val="yellow"/>
        </w:rPr>
      </w:pPr>
      <w:r>
        <w:rPr>
          <w:rFonts w:hint="eastAsia" w:ascii="宋体" w:hAnsi="宋体" w:eastAsia="宋体" w:cs="宋体"/>
          <w:i w:val="0"/>
          <w:iCs w:val="0"/>
          <w:caps w:val="0"/>
          <w:color w:val="000000"/>
          <w:spacing w:val="0"/>
          <w:sz w:val="30"/>
          <w:szCs w:val="30"/>
          <w:highlight w:val="yellow"/>
          <w:shd w:val="clear" w:fill="FFFFFF"/>
        </w:rPr>
        <w:t>100万元×1.00%= 1 万元</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highlight w:val="yellow"/>
        </w:rPr>
      </w:pPr>
      <w:r>
        <w:rPr>
          <w:rFonts w:hint="eastAsia" w:ascii="宋体" w:hAnsi="宋体" w:eastAsia="宋体" w:cs="宋体"/>
          <w:i w:val="0"/>
          <w:iCs w:val="0"/>
          <w:caps w:val="0"/>
          <w:color w:val="000000"/>
          <w:spacing w:val="0"/>
          <w:sz w:val="30"/>
          <w:szCs w:val="30"/>
          <w:highlight w:val="yellow"/>
          <w:shd w:val="clear" w:fill="FFFFFF"/>
        </w:rPr>
        <w:t>（500- 100）万元×0.70%= 2.8万元</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highlight w:val="yellow"/>
        </w:rPr>
      </w:pPr>
      <w:r>
        <w:rPr>
          <w:rFonts w:hint="eastAsia" w:ascii="宋体" w:hAnsi="宋体" w:eastAsia="宋体" w:cs="宋体"/>
          <w:i w:val="0"/>
          <w:iCs w:val="0"/>
          <w:caps w:val="0"/>
          <w:color w:val="000000"/>
          <w:spacing w:val="0"/>
          <w:sz w:val="30"/>
          <w:szCs w:val="30"/>
          <w:highlight w:val="yellow"/>
          <w:shd w:val="clear" w:fill="FFFFFF"/>
        </w:rPr>
        <w:t>（1000- 500）万元×0.55%= 2.75万元</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highlight w:val="yellow"/>
        </w:rPr>
      </w:pPr>
      <w:r>
        <w:rPr>
          <w:rFonts w:hint="eastAsia" w:ascii="宋体" w:hAnsi="宋体" w:eastAsia="宋体" w:cs="宋体"/>
          <w:i w:val="0"/>
          <w:iCs w:val="0"/>
          <w:caps w:val="0"/>
          <w:color w:val="000000"/>
          <w:spacing w:val="0"/>
          <w:sz w:val="30"/>
          <w:szCs w:val="30"/>
          <w:highlight w:val="yellow"/>
          <w:shd w:val="clear" w:fill="FFFFFF"/>
        </w:rPr>
        <w:t>（5000-1000）万元×0.35%=14万元</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宋体" w:hAnsi="宋体" w:eastAsia="宋体" w:cs="宋体"/>
          <w:highlight w:val="yellow"/>
        </w:rPr>
      </w:pPr>
      <w:r>
        <w:rPr>
          <w:rFonts w:hint="eastAsia" w:ascii="宋体" w:hAnsi="宋体" w:eastAsia="宋体" w:cs="宋体"/>
          <w:i w:val="0"/>
          <w:iCs w:val="0"/>
          <w:caps w:val="0"/>
          <w:color w:val="000000"/>
          <w:spacing w:val="0"/>
          <w:sz w:val="30"/>
          <w:szCs w:val="30"/>
          <w:highlight w:val="yellow"/>
          <w:shd w:val="clear" w:fill="FFFFFF"/>
        </w:rPr>
        <w:t>（6000-5000）万元×0.20%= 2万元</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596" w:leftChars="284" w:right="0" w:firstLine="0" w:firstLineChars="0"/>
        <w:jc w:val="left"/>
        <w:textAlignment w:val="auto"/>
        <w:rPr>
          <w:rFonts w:hint="eastAsia" w:ascii="宋体" w:hAnsi="宋体" w:eastAsia="宋体" w:cs="宋体"/>
          <w:i w:val="0"/>
          <w:iCs w:val="0"/>
          <w:caps w:val="0"/>
          <w:color w:val="000000"/>
          <w:spacing w:val="0"/>
          <w:sz w:val="30"/>
          <w:szCs w:val="30"/>
          <w:highlight w:val="yellow"/>
          <w:shd w:val="clear" w:fill="FFFFFF"/>
        </w:rPr>
      </w:pPr>
      <w:r>
        <w:rPr>
          <w:rFonts w:hint="eastAsia" w:ascii="宋体" w:hAnsi="宋体" w:eastAsia="宋体" w:cs="宋体"/>
          <w:i w:val="0"/>
          <w:iCs w:val="0"/>
          <w:caps w:val="0"/>
          <w:color w:val="000000"/>
          <w:spacing w:val="0"/>
          <w:sz w:val="30"/>
          <w:szCs w:val="30"/>
          <w:highlight w:val="yellow"/>
          <w:shd w:val="clear" w:fill="FFFFFF"/>
        </w:rPr>
        <w:t>合计收费=1+2.8+2.75+14+2=22.55（万元）</w:t>
      </w:r>
    </w:p>
    <w:p>
      <w:pPr>
        <w:pStyle w:val="5"/>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600" w:firstLineChars="200"/>
        <w:jc w:val="left"/>
        <w:textAlignment w:val="auto"/>
        <w:rPr>
          <w:rFonts w:hint="eastAsia" w:ascii="宋体" w:hAnsi="宋体" w:eastAsia="宋体" w:cs="宋体"/>
          <w:i w:val="0"/>
          <w:iCs w:val="0"/>
          <w:caps w:val="0"/>
          <w:color w:val="333333"/>
          <w:spacing w:val="0"/>
          <w:kern w:val="0"/>
          <w:sz w:val="30"/>
          <w:szCs w:val="30"/>
          <w:highlight w:val="yellow"/>
          <w:shd w:val="clear" w:fill="FFFFFF"/>
          <w:lang w:val="en-US" w:eastAsia="zh-CN" w:bidi="ar"/>
        </w:rPr>
      </w:pPr>
      <w:r>
        <w:rPr>
          <w:rFonts w:hint="eastAsia" w:ascii="宋体" w:hAnsi="宋体" w:eastAsia="宋体" w:cs="宋体"/>
          <w:i w:val="0"/>
          <w:iCs w:val="0"/>
          <w:caps w:val="0"/>
          <w:color w:val="333333"/>
          <w:spacing w:val="0"/>
          <w:kern w:val="0"/>
          <w:sz w:val="30"/>
          <w:szCs w:val="30"/>
          <w:highlight w:val="yellow"/>
          <w:shd w:val="clear" w:fill="FFFFFF"/>
          <w:lang w:val="en-US" w:eastAsia="zh-CN" w:bidi="ar"/>
        </w:rPr>
        <w:t>乙方按采购相关规定负责组织项目招标采购活动的费用。若因甲方原因产生另外的费用，该费用由甲方承担。</w:t>
      </w:r>
    </w:p>
    <w:p>
      <w:pPr>
        <w:pStyle w:val="5"/>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360" w:lineRule="auto"/>
        <w:ind w:right="0" w:rightChars="0" w:firstLine="600" w:firstLineChars="200"/>
        <w:jc w:val="left"/>
        <w:textAlignment w:val="auto"/>
        <w:rPr>
          <w:rFonts w:hint="eastAsia" w:ascii="宋体" w:hAnsi="宋体" w:eastAsia="宋体" w:cs="宋体"/>
          <w:highlight w:val="yellow"/>
        </w:rPr>
      </w:pPr>
      <w:r>
        <w:rPr>
          <w:rFonts w:hint="eastAsia" w:ascii="宋体" w:hAnsi="宋体" w:eastAsia="宋体" w:cs="宋体"/>
          <w:i w:val="0"/>
          <w:iCs w:val="0"/>
          <w:caps w:val="0"/>
          <w:color w:val="333333"/>
          <w:spacing w:val="0"/>
          <w:kern w:val="0"/>
          <w:sz w:val="30"/>
          <w:szCs w:val="30"/>
          <w:highlight w:val="yellow"/>
          <w:shd w:val="clear" w:fill="FFFFFF"/>
          <w:lang w:val="en-US" w:eastAsia="zh-CN" w:bidi="ar"/>
        </w:rPr>
        <w:t>3、非集中采购机构采购项目，所产生费用由甲方承担。 </w:t>
      </w:r>
    </w:p>
    <w:p>
      <w:pPr>
        <w:keepNext w:val="0"/>
        <w:keepLines w:val="0"/>
        <w:pageBreakBefore w:val="0"/>
        <w:widowControl w:val="0"/>
        <w:tabs>
          <w:tab w:val="left" w:pos="4410"/>
        </w:tabs>
        <w:kinsoku/>
        <w:wordWrap/>
        <w:overflowPunct/>
        <w:topLinePunct w:val="0"/>
        <w:autoSpaceDE/>
        <w:autoSpaceDN/>
        <w:bidi w:val="0"/>
        <w:adjustRightInd/>
        <w:snapToGrid w:val="0"/>
        <w:spacing w:line="360" w:lineRule="auto"/>
        <w:ind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九、其他事项</w:t>
      </w:r>
    </w:p>
    <w:p>
      <w:pPr>
        <w:keepNext w:val="0"/>
        <w:keepLines w:val="0"/>
        <w:pageBreakBefore w:val="0"/>
        <w:widowControl w:val="0"/>
        <w:tabs>
          <w:tab w:val="left" w:pos="4410"/>
        </w:tabs>
        <w:kinsoku/>
        <w:wordWrap/>
        <w:overflowPunct/>
        <w:topLinePunct w:val="0"/>
        <w:autoSpaceDE/>
        <w:autoSpaceDN/>
        <w:bidi w:val="0"/>
        <w:adjustRightInd/>
        <w:snapToGrid w:val="0"/>
        <w:spacing w:line="360" w:lineRule="auto"/>
        <w:ind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1、甲乙双方如因履行本协议发生争议，应通过友好协商解决。协商不成，双方同意按以下第（1）种方式解决：</w:t>
      </w:r>
      <w:r>
        <w:rPr>
          <w:rFonts w:hint="eastAsia" w:ascii="宋体" w:hAnsi="宋体" w:eastAsia="宋体" w:cs="宋体"/>
          <w:i w:val="0"/>
          <w:iCs w:val="0"/>
          <w:caps w:val="0"/>
          <w:color w:val="333333"/>
          <w:spacing w:val="0"/>
          <w:sz w:val="30"/>
          <w:szCs w:val="30"/>
          <w:shd w:val="clear" w:fill="FFFFFF"/>
        </w:rPr>
        <w:br w:type="textWrapping"/>
      </w:r>
      <w:r>
        <w:rPr>
          <w:rFonts w:hint="eastAsia" w:ascii="宋体" w:hAnsi="宋体" w:eastAsia="宋体" w:cs="宋体"/>
          <w:i w:val="0"/>
          <w:iCs w:val="0"/>
          <w:caps w:val="0"/>
          <w:color w:val="333333"/>
          <w:spacing w:val="0"/>
          <w:sz w:val="30"/>
          <w:szCs w:val="30"/>
          <w:shd w:val="clear" w:fill="FFFFFF"/>
        </w:rPr>
        <w:t xml:space="preserve">  （1）将争议提交有管辖权的人民法院解决；</w:t>
      </w:r>
    </w:p>
    <w:p>
      <w:pPr>
        <w:keepNext w:val="0"/>
        <w:keepLines w:val="0"/>
        <w:pageBreakBefore w:val="0"/>
        <w:widowControl w:val="0"/>
        <w:tabs>
          <w:tab w:val="left" w:pos="4410"/>
        </w:tabs>
        <w:kinsoku/>
        <w:wordWrap/>
        <w:overflowPunct/>
        <w:topLinePunct w:val="0"/>
        <w:autoSpaceDE/>
        <w:autoSpaceDN/>
        <w:bidi w:val="0"/>
        <w:adjustRightInd/>
        <w:snapToGrid w:val="0"/>
        <w:spacing w:line="360" w:lineRule="auto"/>
        <w:ind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2、本协议未尽事宜，甲乙双方可另行签订补充协议。</w:t>
      </w:r>
    </w:p>
    <w:p>
      <w:pPr>
        <w:keepNext w:val="0"/>
        <w:keepLines w:val="0"/>
        <w:pageBreakBefore w:val="0"/>
        <w:widowControl w:val="0"/>
        <w:tabs>
          <w:tab w:val="left" w:pos="4410"/>
        </w:tabs>
        <w:kinsoku/>
        <w:wordWrap/>
        <w:overflowPunct/>
        <w:topLinePunct w:val="0"/>
        <w:autoSpaceDE/>
        <w:autoSpaceDN/>
        <w:bidi w:val="0"/>
        <w:adjustRightInd/>
        <w:snapToGrid w:val="0"/>
        <w:spacing w:line="360" w:lineRule="auto"/>
        <w:ind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3、本协议一式贰份，甲乙双方各执壹份。</w:t>
      </w:r>
    </w:p>
    <w:p>
      <w:pPr>
        <w:keepNext w:val="0"/>
        <w:keepLines w:val="0"/>
        <w:pageBreakBefore w:val="0"/>
        <w:widowControl w:val="0"/>
        <w:tabs>
          <w:tab w:val="left" w:pos="4410"/>
        </w:tabs>
        <w:kinsoku/>
        <w:wordWrap/>
        <w:overflowPunct/>
        <w:topLinePunct w:val="0"/>
        <w:autoSpaceDE/>
        <w:autoSpaceDN/>
        <w:bidi w:val="0"/>
        <w:adjustRightInd/>
        <w:snapToGrid w:val="0"/>
        <w:spacing w:line="360" w:lineRule="auto"/>
        <w:ind w:firstLine="600" w:firstLineChars="200"/>
        <w:textAlignment w:val="auto"/>
        <w:rPr>
          <w:rFonts w:hint="eastAsia" w:ascii="宋体" w:hAnsi="宋体" w:eastAsia="宋体" w:cs="宋体"/>
          <w:i w:val="0"/>
          <w:iCs w:val="0"/>
          <w:caps w:val="0"/>
          <w:color w:val="333333"/>
          <w:spacing w:val="0"/>
          <w:sz w:val="30"/>
          <w:szCs w:val="30"/>
          <w:shd w:val="clear" w:fill="FFFFFF"/>
        </w:rPr>
      </w:pPr>
      <w:r>
        <w:rPr>
          <w:rFonts w:hint="eastAsia" w:ascii="宋体" w:hAnsi="宋体" w:eastAsia="宋体" w:cs="宋体"/>
          <w:i w:val="0"/>
          <w:iCs w:val="0"/>
          <w:caps w:val="0"/>
          <w:color w:val="333333"/>
          <w:spacing w:val="0"/>
          <w:sz w:val="30"/>
          <w:szCs w:val="30"/>
          <w:shd w:val="clear" w:fill="FFFFFF"/>
        </w:rPr>
        <w:t>4、本协议于甲乙双方签字盖章之日起生效。</w:t>
      </w:r>
      <w:r>
        <w:rPr>
          <w:rFonts w:hint="eastAsia" w:ascii="宋体" w:hAnsi="宋体" w:eastAsia="宋体" w:cs="宋体"/>
          <w:i w:val="0"/>
          <w:iCs w:val="0"/>
          <w:caps w:val="0"/>
          <w:color w:val="333333"/>
          <w:spacing w:val="0"/>
          <w:sz w:val="30"/>
          <w:szCs w:val="30"/>
          <w:shd w:val="clear" w:fill="FFFFFF"/>
        </w:rPr>
        <w:br w:type="textWrapping"/>
      </w:r>
    </w:p>
    <w:p>
      <w:pPr>
        <w:keepNext w:val="0"/>
        <w:keepLines w:val="0"/>
        <w:pageBreakBefore w:val="0"/>
        <w:widowControl w:val="0"/>
        <w:tabs>
          <w:tab w:val="left" w:pos="4410"/>
        </w:tabs>
        <w:kinsoku/>
        <w:wordWrap/>
        <w:overflowPunct/>
        <w:topLinePunct w:val="0"/>
        <w:autoSpaceDE/>
        <w:autoSpaceDN/>
        <w:bidi w:val="0"/>
        <w:adjustRightInd/>
        <w:snapToGrid w:val="0"/>
        <w:spacing w:line="360" w:lineRule="auto"/>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甲方：</w:t>
      </w:r>
      <w:r>
        <w:rPr>
          <w:rFonts w:hint="eastAsia" w:ascii="宋体" w:hAnsi="宋体" w:eastAsia="宋体" w:cs="宋体"/>
          <w:color w:val="000000" w:themeColor="text1"/>
          <w:sz w:val="28"/>
          <w:szCs w:val="28"/>
          <w:lang w:val="en-US" w:eastAsia="zh-CN"/>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乙方：</w:t>
      </w:r>
    </w:p>
    <w:p>
      <w:pPr>
        <w:keepNext w:val="0"/>
        <w:keepLines w:val="0"/>
        <w:pageBreakBefore w:val="0"/>
        <w:widowControl w:val="0"/>
        <w:tabs>
          <w:tab w:val="left" w:pos="4410"/>
        </w:tabs>
        <w:kinsoku/>
        <w:wordWrap/>
        <w:overflowPunct/>
        <w:topLinePunct w:val="0"/>
        <w:autoSpaceDE/>
        <w:autoSpaceDN/>
        <w:bidi w:val="0"/>
        <w:adjustRightInd/>
        <w:snapToGrid w:val="0"/>
        <w:spacing w:line="510" w:lineRule="exac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（盖章） </w:t>
      </w:r>
      <w:r>
        <w:rPr>
          <w:rFonts w:hint="eastAsia" w:ascii="宋体" w:hAnsi="宋体" w:eastAsia="宋体" w:cs="宋体"/>
          <w:color w:val="000000" w:themeColor="text1"/>
          <w:sz w:val="28"/>
          <w:szCs w:val="28"/>
          <w:lang w:val="en-US" w:eastAsia="zh-CN"/>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（盖章）</w:t>
      </w:r>
    </w:p>
    <w:p>
      <w:pPr>
        <w:keepNext w:val="0"/>
        <w:keepLines w:val="0"/>
        <w:pageBreakBefore w:val="0"/>
        <w:widowControl w:val="0"/>
        <w:tabs>
          <w:tab w:val="left" w:pos="4410"/>
        </w:tabs>
        <w:kinsoku/>
        <w:wordWrap/>
        <w:overflowPunct/>
        <w:topLinePunct w:val="0"/>
        <w:autoSpaceDE/>
        <w:autoSpaceDN/>
        <w:bidi w:val="0"/>
        <w:adjustRightInd/>
        <w:snapToGrid w:val="0"/>
        <w:spacing w:line="510" w:lineRule="exac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法定代表人：</w:t>
      </w:r>
      <w:r>
        <w:rPr>
          <w:rFonts w:hint="eastAsia" w:ascii="宋体" w:hAnsi="宋体" w:eastAsia="宋体" w:cs="宋体"/>
          <w:color w:val="000000" w:themeColor="text1"/>
          <w:sz w:val="28"/>
          <w:szCs w:val="28"/>
          <w:lang w:val="en-US" w:eastAsia="zh-CN"/>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法定代表人：</w:t>
      </w:r>
    </w:p>
    <w:p>
      <w:pPr>
        <w:keepNext w:val="0"/>
        <w:keepLines w:val="0"/>
        <w:pageBreakBefore w:val="0"/>
        <w:widowControl w:val="0"/>
        <w:tabs>
          <w:tab w:val="left" w:pos="4410"/>
        </w:tabs>
        <w:kinsoku/>
        <w:wordWrap/>
        <w:overflowPunct/>
        <w:topLinePunct w:val="0"/>
        <w:autoSpaceDE/>
        <w:autoSpaceDN/>
        <w:bidi w:val="0"/>
        <w:adjustRightInd/>
        <w:snapToGrid w:val="0"/>
        <w:spacing w:line="510" w:lineRule="exac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经  办  人：（或授权代表签章）</w:t>
      </w:r>
    </w:p>
    <w:p>
      <w:pPr>
        <w:keepNext w:val="0"/>
        <w:keepLines w:val="0"/>
        <w:pageBreakBefore w:val="0"/>
        <w:widowControl w:val="0"/>
        <w:tabs>
          <w:tab w:val="left" w:pos="4410"/>
        </w:tabs>
        <w:kinsoku/>
        <w:wordWrap/>
        <w:overflowPunct/>
        <w:topLinePunct w:val="0"/>
        <w:autoSpaceDE/>
        <w:autoSpaceDN/>
        <w:bidi w:val="0"/>
        <w:adjustRightInd/>
        <w:snapToGrid w:val="0"/>
        <w:spacing w:line="592" w:lineRule="exact"/>
        <w:textAlignment w:val="auto"/>
        <w:rPr>
          <w:rFonts w:hint="eastAsia" w:ascii="宋体" w:hAnsi="宋体" w:eastAsia="宋体" w:cs="宋体"/>
          <w:sz w:val="28"/>
          <w:szCs w:val="28"/>
        </w:rPr>
      </w:pPr>
      <w:r>
        <w:rPr>
          <w:rFonts w:hint="eastAsia" w:ascii="宋体" w:hAnsi="宋体" w:eastAsia="宋体" w:cs="宋体"/>
          <w:sz w:val="28"/>
          <w:szCs w:val="28"/>
        </w:rPr>
        <w:t>住所：</w:t>
      </w:r>
      <w:r>
        <w:rPr>
          <w:rFonts w:hint="eastAsia" w:ascii="宋体" w:hAnsi="宋体" w:eastAsia="宋体" w:cs="宋体"/>
          <w:sz w:val="28"/>
          <w:szCs w:val="28"/>
          <w:lang w:val="en-US" w:eastAsia="zh-CN"/>
        </w:rPr>
        <w:tab/>
      </w:r>
      <w:r>
        <w:rPr>
          <w:rFonts w:hint="eastAsia" w:ascii="宋体" w:hAnsi="宋体" w:eastAsia="宋体" w:cs="宋体"/>
          <w:sz w:val="28"/>
          <w:szCs w:val="28"/>
        </w:rPr>
        <w:t>住所：福建省南平市建阳区广</w:t>
      </w:r>
      <w:r>
        <w:rPr>
          <w:rFonts w:hint="eastAsia" w:ascii="宋体" w:hAnsi="宋体" w:eastAsia="宋体" w:cs="宋体"/>
          <w:sz w:val="28"/>
          <w:szCs w:val="28"/>
          <w:lang w:val="en-US" w:eastAsia="zh-CN"/>
        </w:rPr>
        <w:tab/>
      </w:r>
      <w:r>
        <w:rPr>
          <w:rFonts w:hint="eastAsia" w:ascii="宋体" w:hAnsi="宋体" w:eastAsia="宋体" w:cs="宋体"/>
          <w:sz w:val="28"/>
          <w:szCs w:val="28"/>
        </w:rPr>
        <w:t>信街96号一层(万星广场</w:t>
      </w:r>
      <w:r>
        <w:rPr>
          <w:rFonts w:hint="eastAsia" w:ascii="宋体" w:hAnsi="宋体" w:eastAsia="宋体" w:cs="宋体"/>
          <w:sz w:val="28"/>
          <w:szCs w:val="28"/>
          <w:lang w:val="en-US" w:eastAsia="zh-CN"/>
        </w:rPr>
        <w:t>对面</w:t>
      </w:r>
      <w:r>
        <w:rPr>
          <w:rFonts w:hint="eastAsia" w:ascii="宋体" w:hAnsi="宋体" w:eastAsia="宋体" w:cs="宋体"/>
          <w:sz w:val="28"/>
          <w:szCs w:val="28"/>
        </w:rPr>
        <w:t>)</w:t>
      </w:r>
    </w:p>
    <w:p>
      <w:pPr>
        <w:keepNext w:val="0"/>
        <w:keepLines w:val="0"/>
        <w:pageBreakBefore w:val="0"/>
        <w:widowControl w:val="0"/>
        <w:tabs>
          <w:tab w:val="left" w:pos="4410"/>
        </w:tabs>
        <w:kinsoku/>
        <w:wordWrap/>
        <w:overflowPunct/>
        <w:topLinePunct w:val="0"/>
        <w:autoSpaceDE/>
        <w:autoSpaceDN/>
        <w:bidi w:val="0"/>
        <w:adjustRightInd/>
        <w:snapToGrid w:val="0"/>
        <w:spacing w:line="510" w:lineRule="exact"/>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邮  编：</w:t>
      </w:r>
      <w:r>
        <w:rPr>
          <w:rFonts w:hint="eastAsia" w:ascii="宋体" w:hAnsi="宋体" w:eastAsia="宋体" w:cs="宋体"/>
          <w:color w:val="000000" w:themeColor="text1"/>
          <w:sz w:val="28"/>
          <w:szCs w:val="28"/>
          <w:lang w:val="en-US" w:eastAsia="zh-CN"/>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邮  编：35</w:t>
      </w:r>
      <w:r>
        <w:rPr>
          <w:rFonts w:hint="eastAsia" w:ascii="宋体" w:hAnsi="宋体" w:eastAsia="宋体" w:cs="宋体"/>
          <w:color w:val="000000" w:themeColor="text1"/>
          <w:sz w:val="28"/>
          <w:szCs w:val="28"/>
          <w:lang w:val="en-US" w:eastAsia="zh-CN"/>
          <w14:textFill>
            <w14:solidFill>
              <w14:schemeClr w14:val="tx1"/>
            </w14:solidFill>
          </w14:textFill>
        </w:rPr>
        <w:t>4200</w:t>
      </w:r>
    </w:p>
    <w:p>
      <w:pPr>
        <w:keepNext w:val="0"/>
        <w:keepLines w:val="0"/>
        <w:pageBreakBefore w:val="0"/>
        <w:widowControl w:val="0"/>
        <w:tabs>
          <w:tab w:val="left" w:pos="4410"/>
        </w:tabs>
        <w:kinsoku/>
        <w:wordWrap/>
        <w:overflowPunct/>
        <w:topLinePunct w:val="0"/>
        <w:autoSpaceDE/>
        <w:autoSpaceDN/>
        <w:bidi w:val="0"/>
        <w:adjustRightInd/>
        <w:snapToGrid w:val="0"/>
        <w:spacing w:line="510" w:lineRule="exac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电  话：</w:t>
      </w:r>
      <w:r>
        <w:rPr>
          <w:rFonts w:hint="eastAsia" w:ascii="宋体" w:hAnsi="宋体" w:eastAsia="宋体" w:cs="宋体"/>
          <w:color w:val="000000" w:themeColor="text1"/>
          <w:sz w:val="28"/>
          <w:szCs w:val="28"/>
          <w:lang w:val="en-US" w:eastAsia="zh-CN"/>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电  话：0599-8860838</w:t>
      </w:r>
    </w:p>
    <w:p>
      <w:pPr>
        <w:keepNext w:val="0"/>
        <w:keepLines w:val="0"/>
        <w:pageBreakBefore w:val="0"/>
        <w:widowControl w:val="0"/>
        <w:tabs>
          <w:tab w:val="left" w:pos="4410"/>
        </w:tabs>
        <w:kinsoku/>
        <w:wordWrap/>
        <w:overflowPunct/>
        <w:topLinePunct w:val="0"/>
        <w:autoSpaceDE/>
        <w:autoSpaceDN/>
        <w:bidi w:val="0"/>
        <w:adjustRightInd/>
        <w:snapToGrid w:val="0"/>
        <w:spacing w:line="510" w:lineRule="exac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传  真：</w:t>
      </w:r>
      <w:r>
        <w:rPr>
          <w:rFonts w:hint="eastAsia" w:ascii="宋体" w:hAnsi="宋体" w:eastAsia="宋体" w:cs="宋体"/>
          <w:color w:val="000000" w:themeColor="text1"/>
          <w:sz w:val="28"/>
          <w:szCs w:val="28"/>
          <w:lang w:val="en-US" w:eastAsia="zh-CN"/>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传  真：0599-8849565</w:t>
      </w:r>
    </w:p>
    <w:p>
      <w:pPr>
        <w:keepNext w:val="0"/>
        <w:keepLines w:val="0"/>
        <w:pageBreakBefore w:val="0"/>
        <w:widowControl w:val="0"/>
        <w:tabs>
          <w:tab w:val="left" w:pos="4410"/>
        </w:tabs>
        <w:kinsoku/>
        <w:wordWrap/>
        <w:overflowPunct/>
        <w:topLinePunct w:val="0"/>
        <w:autoSpaceDE/>
        <w:autoSpaceDN/>
        <w:bidi w:val="0"/>
        <w:adjustRightInd/>
        <w:snapToGrid w:val="0"/>
        <w:spacing w:line="510" w:lineRule="exac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开户银行: </w:t>
      </w:r>
      <w:r>
        <w:rPr>
          <w:rFonts w:hint="eastAsia" w:ascii="宋体" w:hAnsi="宋体" w:eastAsia="宋体" w:cs="宋体"/>
          <w:color w:val="000000" w:themeColor="text1"/>
          <w:sz w:val="28"/>
          <w:szCs w:val="28"/>
          <w:lang w:val="en-US" w:eastAsia="zh-CN"/>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开户银行：兴业银行建阳支行</w:t>
      </w:r>
    </w:p>
    <w:p>
      <w:pPr>
        <w:keepNext w:val="0"/>
        <w:keepLines w:val="0"/>
        <w:pageBreakBefore w:val="0"/>
        <w:widowControl w:val="0"/>
        <w:tabs>
          <w:tab w:val="left" w:pos="4410"/>
        </w:tabs>
        <w:kinsoku/>
        <w:wordWrap/>
        <w:overflowPunct/>
        <w:topLinePunct w:val="0"/>
        <w:autoSpaceDE/>
        <w:autoSpaceDN/>
        <w:bidi w:val="0"/>
        <w:adjustRightInd/>
        <w:snapToGrid w:val="0"/>
        <w:spacing w:line="510" w:lineRule="exac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银行帐号：</w:t>
      </w:r>
      <w:r>
        <w:rPr>
          <w:rFonts w:hint="eastAsia" w:ascii="宋体" w:hAnsi="宋体" w:eastAsia="宋体" w:cs="宋体"/>
          <w:color w:val="000000" w:themeColor="text1"/>
          <w:sz w:val="28"/>
          <w:szCs w:val="28"/>
          <w:lang w:val="en-US" w:eastAsia="zh-CN"/>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t>银行帐号：192020100100366982</w:t>
      </w:r>
    </w:p>
    <w:p>
      <w:pPr>
        <w:keepNext w:val="0"/>
        <w:keepLines w:val="0"/>
        <w:pageBreakBefore w:val="0"/>
        <w:widowControl w:val="0"/>
        <w:tabs>
          <w:tab w:val="left" w:pos="4410"/>
        </w:tabs>
        <w:kinsoku/>
        <w:wordWrap/>
        <w:overflowPunct/>
        <w:topLinePunct w:val="0"/>
        <w:autoSpaceDE/>
        <w:autoSpaceDN/>
        <w:bidi w:val="0"/>
        <w:adjustRightInd/>
        <w:snapToGrid w:val="0"/>
        <w:spacing w:line="510" w:lineRule="exact"/>
        <w:textAlignment w:val="auto"/>
        <w:rPr>
          <w:rFonts w:hint="eastAsia" w:ascii="宋体" w:hAnsi="宋体" w:eastAsia="宋体" w:cs="宋体"/>
          <w:color w:val="000000" w:themeColor="text1"/>
          <w:sz w:val="28"/>
          <w:szCs w:val="28"/>
          <w14:textFill>
            <w14:solidFill>
              <w14:schemeClr w14:val="tx1"/>
            </w14:solidFill>
          </w14:textFill>
        </w:rPr>
      </w:pPr>
    </w:p>
    <w:p>
      <w:pPr>
        <w:pStyle w:val="5"/>
        <w:keepNext w:val="0"/>
        <w:keepLines w:val="0"/>
        <w:pageBreakBefore w:val="0"/>
        <w:widowControl/>
        <w:suppressLineNumbers w:val="0"/>
        <w:shd w:val="clear" w:fill="FFFFFF"/>
        <w:tabs>
          <w:tab w:val="left" w:pos="4410"/>
        </w:tabs>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签订地点： </w:t>
      </w:r>
      <w:r>
        <w:rPr>
          <w:rFonts w:hint="eastAsia" w:ascii="宋体" w:hAnsi="宋体" w:eastAsia="宋体" w:cs="宋体"/>
          <w:color w:val="000000" w:themeColor="text1"/>
          <w:sz w:val="28"/>
          <w:szCs w:val="28"/>
          <w:lang w:val="en-US" w:eastAsia="zh-CN"/>
          <w14:textFill>
            <w14:solidFill>
              <w14:schemeClr w14:val="tx1"/>
            </w14:solidFill>
          </w14:textFill>
        </w:rPr>
        <w:t>南平市</w:t>
      </w:r>
      <w:r>
        <w:rPr>
          <w:rFonts w:hint="eastAsia" w:ascii="宋体" w:hAnsi="宋体" w:eastAsia="宋体" w:cs="宋体"/>
          <w:color w:val="000000" w:themeColor="text1"/>
          <w:sz w:val="28"/>
          <w:szCs w:val="28"/>
          <w14:textFill>
            <w14:solidFill>
              <w14:schemeClr w14:val="tx1"/>
            </w14:solidFill>
          </w14:textFill>
        </w:rPr>
        <w:t xml:space="preserve">                  </w:t>
      </w:r>
      <w:r>
        <w:rPr>
          <w:rFonts w:hint="eastAsia" w:ascii="宋体" w:hAnsi="宋体" w:eastAsia="宋体" w:cs="宋体"/>
          <w:color w:val="000000" w:themeColor="text1"/>
          <w:sz w:val="28"/>
          <w:szCs w:val="28"/>
          <w:lang w:val="en-US" w:eastAsia="zh-CN"/>
          <w14:textFill>
            <w14:solidFill>
              <w14:schemeClr w14:val="tx1"/>
            </w14:solidFill>
          </w14:textFill>
        </w:rPr>
        <w:tab/>
      </w:r>
    </w:p>
    <w:p>
      <w:pPr>
        <w:pStyle w:val="5"/>
        <w:keepNext w:val="0"/>
        <w:keepLines w:val="0"/>
        <w:pageBreakBefore w:val="0"/>
        <w:widowControl/>
        <w:suppressLineNumbers w:val="0"/>
        <w:shd w:val="clear" w:fill="FFFFFF"/>
        <w:tabs>
          <w:tab w:val="left" w:pos="4410"/>
        </w:tabs>
        <w:kinsoku/>
        <w:wordWrap/>
        <w:overflowPunct/>
        <w:topLinePunct w:val="0"/>
        <w:autoSpaceDE/>
        <w:autoSpaceDN/>
        <w:bidi w:val="0"/>
        <w:adjustRightInd/>
        <w:snapToGrid/>
        <w:spacing w:before="0" w:beforeAutospacing="0" w:after="0" w:afterAutospacing="0" w:line="360" w:lineRule="auto"/>
        <w:ind w:left="0" w:right="0" w:firstLine="0"/>
        <w:jc w:val="right"/>
        <w:textAlignment w:val="auto"/>
        <w:rPr>
          <w:rFonts w:hint="eastAsia" w:ascii="宋体" w:hAnsi="宋体" w:eastAsia="宋体" w:cs="宋体"/>
          <w:i w:val="0"/>
          <w:iCs w:val="0"/>
          <w:caps w:val="0"/>
          <w:color w:val="333333"/>
          <w:spacing w:val="0"/>
          <w:sz w:val="21"/>
          <w:szCs w:val="21"/>
        </w:rPr>
      </w:pPr>
      <w:r>
        <w:rPr>
          <w:rFonts w:hint="eastAsia" w:ascii="宋体" w:hAnsi="宋体" w:eastAsia="宋体" w:cs="宋体"/>
          <w:color w:val="000000" w:themeColor="text1"/>
          <w:sz w:val="28"/>
          <w:szCs w:val="28"/>
          <w14:textFill>
            <w14:solidFill>
              <w14:schemeClr w14:val="tx1"/>
            </w14:solidFill>
          </w14:textFill>
        </w:rPr>
        <w:t>签订时间：  年  月  日</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29D439"/>
    <w:multiLevelType w:val="singleLevel"/>
    <w:tmpl w:val="1F29D4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iYmJmZTEzZjE4Nzk0NDAyYzk5Y2IxZWFhM2U1NzkifQ=="/>
  </w:docVars>
  <w:rsids>
    <w:rsidRoot w:val="7B7C338A"/>
    <w:rsid w:val="3AF71BEC"/>
    <w:rsid w:val="48175526"/>
    <w:rsid w:val="5C606050"/>
    <w:rsid w:val="788F458D"/>
    <w:rsid w:val="7B7C3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360" w:lineRule="auto"/>
      <w:jc w:val="center"/>
      <w:outlineLvl w:val="0"/>
    </w:pPr>
    <w:rPr>
      <w:rFonts w:ascii="Times New Roman" w:hAnsi="Times New Roman" w:eastAsia="宋体" w:cs="Times New Roman"/>
      <w:b/>
      <w:bCs/>
      <w:kern w:val="44"/>
      <w:sz w:val="32"/>
      <w:szCs w:val="44"/>
    </w:rPr>
  </w:style>
  <w:style w:type="paragraph" w:styleId="4">
    <w:name w:val="heading 2"/>
    <w:basedOn w:val="1"/>
    <w:next w:val="1"/>
    <w:semiHidden/>
    <w:unhideWhenUsed/>
    <w:qFormat/>
    <w:uiPriority w:val="0"/>
    <w:pPr>
      <w:keepNext/>
      <w:keepLines/>
      <w:spacing w:beforeLines="0" w:beforeAutospacing="0" w:afterLines="0" w:afterAutospacing="0" w:line="360" w:lineRule="auto"/>
      <w:jc w:val="center"/>
      <w:outlineLvl w:val="1"/>
    </w:pPr>
    <w:rPr>
      <w:rFonts w:ascii="Arial" w:hAnsi="Arial" w:eastAsia="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2023-11-29T01:25:00Z</dcterms:created>
  <dc:creator>WPS_246705718</dc:creator>
  <cp:lastModifiedBy>WPS_246705718</cp:lastModifiedBy>
  <dcterms:modified xsi:type="dcterms:W3CDTF">2023-12-01T03:36:58Z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C5A2296E59EB4DF2B28F3A417FBD733C_11</vt:lpwstr>
  </property>
</Properties>
</file>